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kinsoku w:val="0"/>
        <w:autoSpaceDE w:val="0"/>
        <w:autoSpaceDN w:val="0"/>
        <w:adjustRightInd w:val="0"/>
        <w:spacing w:before="0" w:after="41" w:line="240" w:lineRule="auto"/>
        <w:ind w:right="0"/>
        <w:jc w:val="center"/>
        <w:textAlignment w:val="baseline"/>
        <w:rPr>
          <w:rFonts w:hint="default" w:ascii="Times New Roman" w:hAnsi="Times New Roman" w:eastAsia="方正小标宋_GBK" w:cs="Times New Roman"/>
          <w:spacing w:val="-2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_GBK" w:cs="Times New Roman"/>
          <w:spacing w:val="-2"/>
          <w:sz w:val="44"/>
          <w:szCs w:val="44"/>
          <w:lang w:eastAsia="zh-CN"/>
        </w:rPr>
        <w:t>长春新区支持</w:t>
      </w:r>
      <w:r>
        <w:rPr>
          <w:rFonts w:hint="default" w:ascii="Times New Roman" w:hAnsi="Times New Roman" w:eastAsia="方正小标宋_GBK" w:cs="Times New Roman"/>
          <w:spacing w:val="-2"/>
          <w:sz w:val="44"/>
          <w:szCs w:val="44"/>
        </w:rPr>
        <w:t>人形</w:t>
      </w:r>
      <w:r>
        <w:rPr>
          <w:rFonts w:hint="default" w:ascii="Times New Roman" w:hAnsi="Times New Roman" w:eastAsia="方正小标宋_GBK" w:cs="Times New Roman"/>
          <w:spacing w:val="-2"/>
          <w:sz w:val="44"/>
          <w:szCs w:val="44"/>
          <w:lang w:eastAsia="zh-CN"/>
        </w:rPr>
        <w:t>机器</w:t>
      </w:r>
      <w:r>
        <w:rPr>
          <w:rFonts w:hint="default" w:ascii="Times New Roman" w:hAnsi="Times New Roman" w:eastAsia="方正小标宋_GBK" w:cs="Times New Roman"/>
          <w:spacing w:val="-2"/>
          <w:sz w:val="44"/>
          <w:szCs w:val="44"/>
        </w:rPr>
        <w:t>人产业</w:t>
      </w:r>
    </w:p>
    <w:p>
      <w:pPr>
        <w:widowControl w:val="0"/>
        <w:kinsoku w:val="0"/>
        <w:autoSpaceDE w:val="0"/>
        <w:autoSpaceDN w:val="0"/>
        <w:adjustRightInd w:val="0"/>
        <w:spacing w:before="0" w:after="41" w:line="240" w:lineRule="auto"/>
        <w:ind w:right="0"/>
        <w:jc w:val="center"/>
        <w:textAlignment w:val="baseline"/>
        <w:rPr>
          <w:rFonts w:hint="default" w:ascii="Times New Roman" w:hAnsi="Times New Roman" w:eastAsia="方正小标宋_GBK" w:cs="Times New Roman"/>
          <w:spacing w:val="-2"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spacing w:val="-2"/>
          <w:sz w:val="44"/>
          <w:szCs w:val="44"/>
          <w:lang w:eastAsia="zh-CN"/>
        </w:rPr>
        <w:t>高质量</w:t>
      </w:r>
      <w:r>
        <w:rPr>
          <w:rFonts w:hint="default" w:ascii="Times New Roman" w:hAnsi="Times New Roman" w:eastAsia="方正小标宋_GBK" w:cs="Times New Roman"/>
          <w:spacing w:val="-2"/>
          <w:sz w:val="44"/>
          <w:szCs w:val="44"/>
        </w:rPr>
        <w:t>发展</w:t>
      </w:r>
      <w:r>
        <w:rPr>
          <w:rFonts w:hint="default" w:ascii="Times New Roman" w:hAnsi="Times New Roman" w:eastAsia="方正小标宋_GBK" w:cs="Times New Roman"/>
          <w:spacing w:val="-2"/>
          <w:sz w:val="44"/>
          <w:szCs w:val="44"/>
          <w:lang w:eastAsia="zh-CN"/>
        </w:rPr>
        <w:t>若干措施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right="259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shd w:val="clear" w:color="auto" w:fill="auto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adjustRightInd/>
        <w:snapToGrid/>
        <w:spacing w:line="560" w:lineRule="exact"/>
        <w:ind w:right="259" w:firstLine="640" w:firstLineChars="200"/>
        <w:rPr>
          <w:rFonts w:hint="default" w:ascii="Times New Roman" w:hAnsi="Times New Roman" w:eastAsia="方正仿宋_GBK" w:cs="Times New Roman"/>
          <w:shd w:val="clear" w:color="auto" w:fill="auto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auto"/>
        </w:rPr>
        <w:t>为大力培育人形机器人产业，开辟未来产业新赛道，</w:t>
      </w:r>
      <w:r>
        <w:rPr>
          <w:rFonts w:hint="default" w:ascii="Times New Roman" w:hAnsi="Times New Roman" w:eastAsia="方正仿宋_GBK" w:cs="Times New Roman"/>
          <w:spacing w:val="-6"/>
          <w:sz w:val="32"/>
          <w:szCs w:val="32"/>
          <w:shd w:val="clear" w:color="auto" w:fill="auto"/>
        </w:rPr>
        <w:t>加快形成新质生产力，在《长春新区推动经济持续向好若干措施》基础上，出台《长春新区支持人形机器人产业高质量发展若干措施》，形成</w:t>
      </w:r>
      <w:r>
        <w:rPr>
          <w:rFonts w:hint="default" w:ascii="Times New Roman" w:hAnsi="Times New Roman" w:eastAsia="方正仿宋_GBK" w:cs="Times New Roman"/>
          <w:spacing w:val="-6"/>
          <w:sz w:val="32"/>
          <w:szCs w:val="32"/>
          <w:shd w:val="clear" w:color="auto" w:fill="auto"/>
        </w:rPr>
        <w:t>“</w:t>
      </w:r>
      <w:r>
        <w:rPr>
          <w:rFonts w:hint="default" w:ascii="Times New Roman" w:hAnsi="Times New Roman" w:eastAsia="方正仿宋_GBK" w:cs="Times New Roman"/>
          <w:spacing w:val="-6"/>
          <w:sz w:val="32"/>
          <w:szCs w:val="32"/>
          <w:shd w:val="clear" w:color="auto" w:fill="auto"/>
        </w:rPr>
        <w:t>1+1</w:t>
      </w:r>
      <w:r>
        <w:rPr>
          <w:rFonts w:hint="default" w:ascii="Times New Roman" w:hAnsi="Times New Roman" w:eastAsia="方正仿宋_GBK" w:cs="Times New Roman"/>
          <w:spacing w:val="-6"/>
          <w:sz w:val="32"/>
          <w:szCs w:val="32"/>
          <w:shd w:val="clear" w:color="auto" w:fill="auto"/>
        </w:rPr>
        <w:t>”</w:t>
      </w:r>
      <w:r>
        <w:rPr>
          <w:rFonts w:hint="default" w:ascii="Times New Roman" w:hAnsi="Times New Roman" w:eastAsia="方正仿宋_GBK" w:cs="Times New Roman"/>
          <w:spacing w:val="-6"/>
          <w:sz w:val="32"/>
          <w:szCs w:val="32"/>
          <w:shd w:val="clear" w:color="auto" w:fill="auto"/>
        </w:rPr>
        <w:t>政策支持体系</w:t>
      </w:r>
      <w:r>
        <w:rPr>
          <w:rFonts w:hint="default" w:ascii="Times New Roman" w:hAnsi="Times New Roman" w:eastAsia="方正仿宋_GBK" w:cs="Times New Roman"/>
          <w:spacing w:val="1"/>
          <w:sz w:val="32"/>
          <w:szCs w:val="32"/>
          <w:shd w:val="clear" w:color="auto" w:fill="auto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eastAsia="zh-CN"/>
        </w:rPr>
        <w:t>重点支持</w:t>
      </w:r>
      <w:r>
        <w:rPr>
          <w:rFonts w:hint="default"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eastAsia="zh-CN"/>
        </w:rPr>
        <w:t>领域包括：</w:t>
      </w:r>
      <w:r>
        <w:rPr>
          <w:rFonts w:hint="default"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</w:rPr>
        <w:t>从事</w:t>
      </w:r>
      <w:r>
        <w:rPr>
          <w:rFonts w:hint="default"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eastAsia="zh-CN"/>
        </w:rPr>
        <w:t>人形机器人</w:t>
      </w:r>
      <w:r>
        <w:rPr>
          <w:rFonts w:hint="default"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</w:rPr>
        <w:t>相关领域</w:t>
      </w:r>
      <w:r>
        <w:rPr>
          <w:rFonts w:hint="default" w:ascii="Times New Roman" w:hAnsi="Times New Roman" w:eastAsia="方正仿宋_GBK" w:cs="Times New Roman"/>
          <w:b w:val="0"/>
          <w:i w:val="0"/>
          <w:color w:val="000000"/>
          <w:spacing w:val="0"/>
          <w:w w:val="99"/>
          <w:kern w:val="0"/>
          <w:position w:val="0"/>
          <w:sz w:val="32"/>
          <w:szCs w:val="32"/>
        </w:rPr>
        <w:t>研</w:t>
      </w:r>
      <w:r>
        <w:rPr>
          <w:rFonts w:hint="default"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</w:rPr>
        <w:t>发、生产、服务等生产经营活动，具有独立法人资格的企事业</w:t>
      </w:r>
      <w:r>
        <w:rPr>
          <w:rFonts w:hint="default" w:ascii="Times New Roman" w:hAnsi="Times New Roman" w:eastAsia="方正仿宋_GBK" w:cs="Times New Roman"/>
          <w:b w:val="0"/>
          <w:i w:val="0"/>
          <w:color w:val="000000"/>
          <w:spacing w:val="0"/>
          <w:w w:val="99"/>
          <w:kern w:val="0"/>
          <w:position w:val="0"/>
          <w:sz w:val="32"/>
          <w:szCs w:val="32"/>
        </w:rPr>
        <w:t>单</w:t>
      </w:r>
      <w:r>
        <w:rPr>
          <w:rFonts w:hint="default"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</w:rPr>
        <w:t>位、社会团体、行业组织，以及符合</w:t>
      </w:r>
      <w:r>
        <w:rPr>
          <w:rFonts w:hint="default"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eastAsia="zh-CN"/>
        </w:rPr>
        <w:t>长春</w:t>
      </w:r>
      <w:r>
        <w:rPr>
          <w:rFonts w:hint="default"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</w:rPr>
        <w:t>新区</w:t>
      </w:r>
      <w:r>
        <w:rPr>
          <w:rFonts w:hint="default"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eastAsia="zh-CN"/>
        </w:rPr>
        <w:t>人形机器人</w:t>
      </w:r>
      <w:r>
        <w:rPr>
          <w:rFonts w:hint="default"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</w:rPr>
        <w:t>产业</w:t>
      </w:r>
      <w:r>
        <w:rPr>
          <w:rFonts w:hint="default"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eastAsia="zh-CN"/>
        </w:rPr>
        <w:t>链</w:t>
      </w:r>
      <w:r>
        <w:rPr>
          <w:rFonts w:hint="default"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</w:rPr>
        <w:t>发展或提供支撑的其他对象。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106" w:right="100" w:firstLine="640"/>
        <w:jc w:val="both"/>
        <w:textAlignment w:val="auto"/>
        <w:rPr>
          <w:rFonts w:hint="default" w:ascii="Times New Roman" w:hAnsi="Times New Roman" w:eastAsia="方正楷体_GBK" w:cs="Times New Roman"/>
          <w:sz w:val="32"/>
          <w:szCs w:val="32"/>
          <w:highlight w:val="none"/>
          <w:shd w:val="clear" w:color="auto" w:fill="auto"/>
          <w:lang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spacing w:val="-12"/>
          <w:sz w:val="32"/>
          <w:szCs w:val="32"/>
          <w:highlight w:val="none"/>
          <w:shd w:val="clear" w:color="auto" w:fill="auto"/>
          <w:lang w:eastAsia="zh-CN"/>
        </w:rPr>
        <w:t>一、</w:t>
      </w:r>
      <w:r>
        <w:rPr>
          <w:rFonts w:hint="default" w:ascii="Times New Roman" w:hAnsi="Times New Roman" w:eastAsia="方正黑体_GBK" w:cs="Times New Roman"/>
          <w:spacing w:val="-12"/>
          <w:sz w:val="32"/>
          <w:szCs w:val="32"/>
          <w:highlight w:val="none"/>
          <w:shd w:val="clear" w:color="auto" w:fill="auto"/>
        </w:rPr>
        <w:t>支持前沿技术研发。</w:t>
      </w:r>
      <w:r>
        <w:rPr>
          <w:rFonts w:hint="default" w:ascii="Times New Roman" w:hAnsi="Times New Roman" w:eastAsia="方正仿宋_GBK" w:cs="Times New Roman"/>
          <w:spacing w:val="-12"/>
          <w:sz w:val="32"/>
          <w:szCs w:val="32"/>
          <w:highlight w:val="none"/>
          <w:shd w:val="clear" w:color="auto" w:fill="auto"/>
        </w:rPr>
        <w:t>围绕人形机器人“大脑、小脑、</w:t>
      </w:r>
      <w:r>
        <w:rPr>
          <w:rFonts w:hint="default" w:ascii="Times New Roman" w:hAnsi="Times New Roman" w:eastAsia="方正仿宋_GBK" w:cs="Times New Roman"/>
          <w:spacing w:val="-2"/>
          <w:sz w:val="32"/>
          <w:szCs w:val="32"/>
          <w:highlight w:val="none"/>
          <w:shd w:val="clear" w:color="auto" w:fill="auto"/>
        </w:rPr>
        <w:t>肢体、本体”关键技术和核心部组件，加强多模态大模型、运动控制算法、专用算力芯片、智能传感器、仿生轻量化机械臂及灵巧手等前沿技术研发，经评审，按照项目研发投资总额的 20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shd w:val="clear" w:color="auto" w:fill="auto"/>
        </w:rPr>
        <w:t>%予</w:t>
      </w:r>
      <w:r>
        <w:rPr>
          <w:rFonts w:hint="default" w:ascii="Times New Roman" w:hAnsi="Times New Roman" w:eastAsia="方正仿宋_GBK" w:cs="Times New Roman"/>
          <w:spacing w:val="-9"/>
          <w:sz w:val="32"/>
          <w:szCs w:val="32"/>
          <w:highlight w:val="none"/>
          <w:shd w:val="clear" w:color="auto" w:fill="auto"/>
        </w:rPr>
        <w:t xml:space="preserve">以项目资金补助，单个项目补助金额不超过 </w:t>
      </w:r>
      <w:r>
        <w:rPr>
          <w:rFonts w:hint="default" w:ascii="Times New Roman" w:hAnsi="Times New Roman" w:eastAsia="方正仿宋_GBK" w:cs="Times New Roman"/>
          <w:spacing w:val="-9"/>
          <w:sz w:val="32"/>
          <w:szCs w:val="32"/>
          <w:highlight w:val="none"/>
          <w:shd w:val="clear" w:color="auto" w:fill="auto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shd w:val="clear" w:color="auto" w:fill="auto"/>
        </w:rPr>
        <w:t>00</w:t>
      </w:r>
      <w:r>
        <w:rPr>
          <w:rFonts w:hint="default" w:ascii="Times New Roman" w:hAnsi="Times New Roman" w:eastAsia="方正仿宋_GBK" w:cs="Times New Roman"/>
          <w:spacing w:val="-12"/>
          <w:sz w:val="32"/>
          <w:szCs w:val="32"/>
          <w:highlight w:val="none"/>
          <w:shd w:val="clear" w:color="auto" w:fill="auto"/>
        </w:rPr>
        <w:t xml:space="preserve"> 万元；对获得市</w:t>
      </w:r>
      <w:r>
        <w:rPr>
          <w:rFonts w:hint="default" w:ascii="Times New Roman" w:hAnsi="Times New Roman" w:eastAsia="方正仿宋_GBK" w:cs="Times New Roman"/>
          <w:spacing w:val="-3"/>
          <w:sz w:val="32"/>
          <w:szCs w:val="32"/>
          <w:highlight w:val="none"/>
          <w:shd w:val="clear" w:color="auto" w:fill="auto"/>
        </w:rPr>
        <w:t>级及以上</w:t>
      </w:r>
      <w:r>
        <w:rPr>
          <w:rFonts w:hint="default" w:ascii="Times New Roman" w:hAnsi="Times New Roman" w:eastAsia="方正仿宋_GBK" w:cs="Times New Roman"/>
          <w:spacing w:val="-3"/>
          <w:sz w:val="32"/>
          <w:szCs w:val="32"/>
          <w:highlight w:val="none"/>
          <w:shd w:val="clear" w:color="auto" w:fill="auto"/>
          <w:lang w:eastAsia="zh-CN"/>
        </w:rPr>
        <w:t>资金</w:t>
      </w:r>
      <w:r>
        <w:rPr>
          <w:rFonts w:hint="default" w:ascii="Times New Roman" w:hAnsi="Times New Roman" w:eastAsia="方正仿宋_GBK" w:cs="Times New Roman"/>
          <w:spacing w:val="-3"/>
          <w:sz w:val="32"/>
          <w:szCs w:val="32"/>
          <w:highlight w:val="none"/>
          <w:shd w:val="clear" w:color="auto" w:fill="auto"/>
        </w:rPr>
        <w:t>支持的项目，按照支持资金</w:t>
      </w:r>
      <w:r>
        <w:rPr>
          <w:rFonts w:hint="default" w:ascii="Times New Roman" w:hAnsi="Times New Roman" w:eastAsia="方正仿宋_GBK" w:cs="Times New Roman"/>
          <w:spacing w:val="-3"/>
          <w:sz w:val="32"/>
          <w:szCs w:val="32"/>
          <w:highlight w:val="none"/>
          <w:shd w:val="clear" w:color="auto" w:fill="auto"/>
          <w:lang w:eastAsia="zh-CN"/>
        </w:rPr>
        <w:t>的</w:t>
      </w:r>
      <w:r>
        <w:rPr>
          <w:rFonts w:hint="default" w:ascii="Times New Roman" w:hAnsi="Times New Roman" w:eastAsia="方正仿宋_GBK" w:cs="Times New Roman"/>
          <w:spacing w:val="-3"/>
          <w:sz w:val="32"/>
          <w:szCs w:val="32"/>
          <w:highlight w:val="none"/>
          <w:shd w:val="clear" w:color="auto" w:fill="auto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shd w:val="clear" w:color="auto" w:fill="auto"/>
        </w:rPr>
        <w:t>10</w:t>
      </w:r>
      <w:r>
        <w:rPr>
          <w:rFonts w:hint="default" w:ascii="Times New Roman" w:hAnsi="Times New Roman" w:eastAsia="方正仿宋_GBK" w:cs="Times New Roman"/>
          <w:spacing w:val="-6"/>
          <w:sz w:val="32"/>
          <w:szCs w:val="32"/>
          <w:highlight w:val="none"/>
          <w:shd w:val="clear" w:color="auto" w:fill="auto"/>
        </w:rPr>
        <w:t>%予以</w:t>
      </w:r>
      <w:r>
        <w:rPr>
          <w:rFonts w:hint="default" w:ascii="Times New Roman" w:hAnsi="Times New Roman" w:eastAsia="方正仿宋_GBK" w:cs="Times New Roman"/>
          <w:spacing w:val="-6"/>
          <w:sz w:val="32"/>
          <w:szCs w:val="32"/>
          <w:highlight w:val="none"/>
          <w:shd w:val="clear" w:color="auto" w:fill="auto"/>
          <w:lang w:eastAsia="zh-CN"/>
        </w:rPr>
        <w:t>配套支持</w:t>
      </w:r>
      <w:r>
        <w:rPr>
          <w:rFonts w:hint="default" w:ascii="Times New Roman" w:hAnsi="Times New Roman" w:eastAsia="方正仿宋_GBK" w:cs="Times New Roman"/>
          <w:spacing w:val="-6"/>
          <w:sz w:val="32"/>
          <w:szCs w:val="32"/>
          <w:highlight w:val="none"/>
          <w:shd w:val="clear" w:color="auto" w:fill="auto"/>
        </w:rPr>
        <w:t xml:space="preserve">，最高 </w:t>
      </w:r>
      <w:r>
        <w:rPr>
          <w:rFonts w:hint="default" w:ascii="Times New Roman" w:hAnsi="Times New Roman" w:eastAsia="方正仿宋_GBK" w:cs="Times New Roman"/>
          <w:spacing w:val="-6"/>
          <w:sz w:val="32"/>
          <w:szCs w:val="32"/>
          <w:highlight w:val="none"/>
          <w:shd w:val="clear" w:color="auto" w:fill="auto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shd w:val="clear" w:color="auto" w:fill="auto"/>
        </w:rPr>
        <w:t>00</w:t>
      </w:r>
      <w:r>
        <w:rPr>
          <w:rFonts w:hint="default" w:ascii="Times New Roman" w:hAnsi="Times New Roman" w:eastAsia="方正仿宋_GBK" w:cs="Times New Roman"/>
          <w:spacing w:val="-24"/>
          <w:sz w:val="32"/>
          <w:szCs w:val="32"/>
          <w:highlight w:val="none"/>
          <w:shd w:val="clear" w:color="auto" w:fill="auto"/>
        </w:rPr>
        <w:t xml:space="preserve"> 万</w:t>
      </w:r>
      <w:r>
        <w:rPr>
          <w:rFonts w:hint="default" w:ascii="Times New Roman" w:hAnsi="Times New Roman" w:eastAsia="方正仿宋_GBK" w:cs="Times New Roman"/>
          <w:spacing w:val="-6"/>
          <w:sz w:val="32"/>
          <w:szCs w:val="32"/>
          <w:highlight w:val="none"/>
          <w:shd w:val="clear" w:color="auto" w:fill="auto"/>
        </w:rPr>
        <w:t>元。</w:t>
      </w:r>
      <w:r>
        <w:rPr>
          <w:rFonts w:hint="default" w:ascii="Times New Roman" w:hAnsi="Times New Roman" w:eastAsia="方正楷体_GBK" w:cs="Times New Roman"/>
          <w:spacing w:val="-6"/>
          <w:sz w:val="32"/>
          <w:szCs w:val="32"/>
          <w:highlight w:val="none"/>
          <w:shd w:val="clear" w:color="auto" w:fill="auto"/>
          <w:lang w:eastAsia="zh-CN"/>
        </w:rPr>
        <w:t>（责任部门：光电办、科技局、财政局）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106" w:right="100" w:firstLine="640"/>
        <w:jc w:val="both"/>
        <w:textAlignment w:val="auto"/>
        <w:rPr>
          <w:rFonts w:hint="default" w:ascii="Times New Roman" w:hAnsi="Times New Roman" w:eastAsia="方正仿宋_GBK" w:cs="Times New Roman"/>
          <w:b/>
          <w:bCs/>
          <w:sz w:val="32"/>
          <w:szCs w:val="32"/>
          <w:highlight w:val="none"/>
          <w:shd w:val="clear" w:color="auto" w:fill="auto"/>
        </w:rPr>
      </w:pPr>
      <w:r>
        <w:rPr>
          <w:rFonts w:hint="default" w:ascii="Times New Roman" w:hAnsi="Times New Roman" w:eastAsia="方正黑体_GBK" w:cs="Times New Roman"/>
          <w:b w:val="0"/>
          <w:bCs w:val="0"/>
          <w:spacing w:val="-12"/>
          <w:sz w:val="32"/>
          <w:szCs w:val="32"/>
          <w:highlight w:val="none"/>
          <w:shd w:val="clear" w:color="auto" w:fill="auto"/>
          <w:lang w:eastAsia="zh-CN"/>
        </w:rPr>
        <w:t>二、支持关键技术攻关。</w:t>
      </w:r>
      <w:r>
        <w:rPr>
          <w:rFonts w:hint="default" w:ascii="Times New Roman" w:hAnsi="Times New Roman" w:eastAsia="方正仿宋_GBK" w:cs="Times New Roman"/>
          <w:spacing w:val="-1"/>
          <w:sz w:val="32"/>
          <w:szCs w:val="32"/>
          <w:highlight w:val="none"/>
          <w:shd w:val="clear" w:color="auto" w:fill="auto"/>
        </w:rPr>
        <w:t>支持通过“揭榜挂帅”方式攻</w:t>
      </w:r>
      <w:r>
        <w:rPr>
          <w:rFonts w:hint="default" w:ascii="Times New Roman" w:hAnsi="Times New Roman" w:eastAsia="方正仿宋_GBK" w:cs="Times New Roman"/>
          <w:spacing w:val="-2"/>
          <w:sz w:val="32"/>
          <w:szCs w:val="32"/>
          <w:highlight w:val="none"/>
          <w:shd w:val="clear" w:color="auto" w:fill="auto"/>
        </w:rPr>
        <w:t>关力传感器、微机电姿态传感器、触觉传感器、高功率密度集成关节等相关技术，</w:t>
      </w:r>
      <w:r>
        <w:rPr>
          <w:rFonts w:hint="default" w:ascii="Times New Roman" w:hAnsi="Times New Roman" w:eastAsia="方正仿宋_GBK" w:cs="Times New Roman"/>
          <w:spacing w:val="-9"/>
          <w:sz w:val="32"/>
          <w:szCs w:val="32"/>
          <w:highlight w:val="none"/>
          <w:shd w:val="clear" w:color="auto" w:fill="auto"/>
        </w:rPr>
        <w:t>对于</w:t>
      </w:r>
      <w:r>
        <w:rPr>
          <w:rFonts w:hint="default" w:ascii="Times New Roman" w:hAnsi="Times New Roman" w:eastAsia="方正仿宋_GBK" w:cs="Times New Roman"/>
          <w:spacing w:val="-9"/>
          <w:sz w:val="32"/>
          <w:szCs w:val="32"/>
          <w:highlight w:val="none"/>
          <w:shd w:val="clear" w:color="auto" w:fill="auto"/>
          <w:lang w:eastAsia="zh-CN"/>
        </w:rPr>
        <w:t>完</w:t>
      </w:r>
      <w:r>
        <w:rPr>
          <w:rFonts w:hint="default" w:ascii="Times New Roman" w:hAnsi="Times New Roman" w:eastAsia="方正仿宋_GBK" w:cs="Times New Roman"/>
          <w:spacing w:val="-4"/>
          <w:sz w:val="32"/>
          <w:szCs w:val="32"/>
          <w:highlight w:val="none"/>
          <w:shd w:val="clear" w:color="auto" w:fill="auto"/>
        </w:rPr>
        <w:t>成</w:t>
      </w:r>
      <w:r>
        <w:rPr>
          <w:rFonts w:hint="default" w:ascii="Times New Roman" w:hAnsi="Times New Roman" w:eastAsia="方正仿宋_GBK" w:cs="Times New Roman"/>
          <w:spacing w:val="-4"/>
          <w:sz w:val="32"/>
          <w:szCs w:val="32"/>
          <w:highlight w:val="none"/>
          <w:shd w:val="clear" w:color="auto" w:fill="auto"/>
          <w:lang w:eastAsia="zh-CN"/>
        </w:rPr>
        <w:t>市</w:t>
      </w:r>
      <w:r>
        <w:rPr>
          <w:rFonts w:hint="default" w:ascii="Times New Roman" w:hAnsi="Times New Roman" w:eastAsia="方正仿宋_GBK" w:cs="Times New Roman"/>
          <w:spacing w:val="-4"/>
          <w:sz w:val="32"/>
          <w:szCs w:val="32"/>
          <w:highlight w:val="none"/>
          <w:shd w:val="clear" w:color="auto" w:fill="auto"/>
        </w:rPr>
        <w:t xml:space="preserve">级揭榜任务的企业，予以每项最高 </w:t>
      </w:r>
      <w:r>
        <w:rPr>
          <w:rFonts w:hint="default" w:ascii="Times New Roman" w:hAnsi="Times New Roman" w:eastAsia="方正仿宋_GBK" w:cs="Times New Roman"/>
          <w:spacing w:val="-2"/>
          <w:sz w:val="32"/>
          <w:szCs w:val="32"/>
          <w:highlight w:val="none"/>
          <w:shd w:val="clear" w:color="auto" w:fill="auto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pacing w:val="-2"/>
          <w:sz w:val="32"/>
          <w:szCs w:val="32"/>
          <w:highlight w:val="none"/>
          <w:shd w:val="clear" w:color="auto" w:fill="auto"/>
        </w:rPr>
        <w:t>0</w:t>
      </w:r>
      <w:r>
        <w:rPr>
          <w:rFonts w:hint="default" w:ascii="Times New Roman" w:hAnsi="Times New Roman" w:eastAsia="方正仿宋_GBK" w:cs="Times New Roman"/>
          <w:spacing w:val="-8"/>
          <w:sz w:val="32"/>
          <w:szCs w:val="32"/>
          <w:highlight w:val="none"/>
          <w:shd w:val="clear" w:color="auto" w:fill="auto"/>
        </w:rPr>
        <w:t xml:space="preserve"> 万元奖励，每家最高</w:t>
      </w:r>
      <w:r>
        <w:rPr>
          <w:rFonts w:hint="default" w:ascii="Times New Roman" w:hAnsi="Times New Roman" w:eastAsia="方正仿宋_GBK" w:cs="Times New Roman"/>
          <w:spacing w:val="-5"/>
          <w:sz w:val="32"/>
          <w:szCs w:val="32"/>
          <w:highlight w:val="none"/>
          <w:shd w:val="clear" w:color="auto" w:fill="auto"/>
        </w:rPr>
        <w:t xml:space="preserve">不超过 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shd w:val="clear" w:color="auto" w:fill="auto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shd w:val="clear" w:color="auto" w:fill="auto"/>
        </w:rPr>
        <w:t>0</w:t>
      </w:r>
      <w:r>
        <w:rPr>
          <w:rFonts w:hint="default" w:ascii="Times New Roman" w:hAnsi="Times New Roman" w:eastAsia="方正仿宋_GBK" w:cs="Times New Roman"/>
          <w:spacing w:val="-6"/>
          <w:sz w:val="32"/>
          <w:szCs w:val="32"/>
          <w:highlight w:val="none"/>
          <w:shd w:val="clear" w:color="auto" w:fill="auto"/>
        </w:rPr>
        <w:t xml:space="preserve"> 万元</w:t>
      </w:r>
      <w:r>
        <w:rPr>
          <w:rFonts w:hint="default" w:ascii="Times New Roman" w:hAnsi="Times New Roman" w:eastAsia="方正仿宋_GBK" w:cs="Times New Roman"/>
          <w:spacing w:val="-9"/>
          <w:sz w:val="32"/>
          <w:szCs w:val="32"/>
          <w:highlight w:val="none"/>
          <w:shd w:val="clear" w:color="auto" w:fill="auto"/>
        </w:rPr>
        <w:t>；</w:t>
      </w:r>
      <w:r>
        <w:rPr>
          <w:rFonts w:hint="default" w:ascii="Times New Roman" w:hAnsi="Times New Roman" w:eastAsia="方正仿宋_GBK" w:cs="Times New Roman"/>
          <w:spacing w:val="-2"/>
          <w:sz w:val="32"/>
          <w:szCs w:val="32"/>
          <w:highlight w:val="none"/>
          <w:shd w:val="clear" w:color="auto" w:fill="auto"/>
        </w:rPr>
        <w:t>对于完成国家级、省级以上揭榜任务的企业，</w:t>
      </w:r>
      <w:r>
        <w:rPr>
          <w:rFonts w:hint="default" w:ascii="Times New Roman" w:hAnsi="Times New Roman" w:eastAsia="方正仿宋_GBK" w:cs="Times New Roman"/>
          <w:spacing w:val="-7"/>
          <w:sz w:val="32"/>
          <w:szCs w:val="32"/>
          <w:highlight w:val="none"/>
          <w:shd w:val="clear" w:color="auto" w:fill="auto"/>
        </w:rPr>
        <w:t xml:space="preserve">予以每项最高 </w:t>
      </w:r>
      <w:r>
        <w:rPr>
          <w:rFonts w:hint="default" w:ascii="Times New Roman" w:hAnsi="Times New Roman" w:eastAsia="方正仿宋_GBK" w:cs="Times New Roman"/>
          <w:spacing w:val="-7"/>
          <w:sz w:val="32"/>
          <w:szCs w:val="32"/>
          <w:highlight w:val="none"/>
          <w:shd w:val="clear" w:color="auto" w:fill="auto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shd w:val="clear" w:color="auto" w:fill="auto"/>
        </w:rPr>
        <w:t>0</w:t>
      </w:r>
      <w:r>
        <w:rPr>
          <w:rFonts w:hint="default" w:ascii="Times New Roman" w:hAnsi="Times New Roman" w:eastAsia="方正仿宋_GBK" w:cs="Times New Roman"/>
          <w:spacing w:val="-10"/>
          <w:sz w:val="32"/>
          <w:szCs w:val="32"/>
          <w:highlight w:val="none"/>
          <w:shd w:val="clear" w:color="auto" w:fill="auto"/>
        </w:rPr>
        <w:t xml:space="preserve"> 万元奖励，每家最高不超过 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shd w:val="clear" w:color="auto" w:fill="auto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shd w:val="clear" w:color="auto" w:fill="auto"/>
        </w:rPr>
        <w:t>0</w:t>
      </w:r>
      <w:r>
        <w:rPr>
          <w:rFonts w:hint="default" w:ascii="Times New Roman" w:hAnsi="Times New Roman" w:eastAsia="方正仿宋_GBK" w:cs="Times New Roman"/>
          <w:spacing w:val="-9"/>
          <w:sz w:val="32"/>
          <w:szCs w:val="32"/>
          <w:highlight w:val="none"/>
          <w:shd w:val="clear" w:color="auto" w:fill="auto"/>
        </w:rPr>
        <w:t xml:space="preserve"> 万元</w:t>
      </w:r>
      <w:r>
        <w:rPr>
          <w:rFonts w:hint="default" w:ascii="Times New Roman" w:hAnsi="Times New Roman" w:eastAsia="方正仿宋_GBK" w:cs="Times New Roman"/>
          <w:spacing w:val="-6"/>
          <w:sz w:val="32"/>
          <w:szCs w:val="32"/>
          <w:highlight w:val="none"/>
          <w:shd w:val="clear" w:color="auto" w:fill="auto"/>
        </w:rPr>
        <w:t>。</w:t>
      </w:r>
      <w:r>
        <w:rPr>
          <w:rFonts w:hint="default" w:ascii="Times New Roman" w:hAnsi="Times New Roman" w:eastAsia="方正楷体_GBK" w:cs="Times New Roman"/>
          <w:spacing w:val="-6"/>
          <w:sz w:val="32"/>
          <w:szCs w:val="32"/>
          <w:highlight w:val="none"/>
          <w:shd w:val="clear" w:color="auto" w:fill="auto"/>
          <w:lang w:eastAsia="zh-CN"/>
        </w:rPr>
        <w:t>（责任部门：光电办、科技局、财政局）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106" w:right="227" w:firstLine="64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highlight w:val="none"/>
          <w:shd w:val="clear" w:color="auto" w:fill="auto"/>
        </w:rPr>
      </w:pPr>
      <w:r>
        <w:rPr>
          <w:rFonts w:hint="default" w:ascii="Times New Roman" w:hAnsi="Times New Roman" w:eastAsia="方正黑体_GBK" w:cs="Times New Roman"/>
          <w:b w:val="0"/>
          <w:bCs w:val="0"/>
          <w:spacing w:val="-12"/>
          <w:sz w:val="32"/>
          <w:szCs w:val="32"/>
          <w:highlight w:val="none"/>
          <w:shd w:val="clear" w:color="auto" w:fill="auto"/>
          <w:lang w:eastAsia="zh-CN"/>
        </w:rPr>
        <w:t>三、支持创新成果转化。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shd w:val="clear" w:color="auto" w:fill="auto"/>
        </w:rPr>
        <w:t>对获得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shd w:val="clear" w:color="auto" w:fill="auto"/>
          <w:lang w:eastAsia="zh-CN"/>
        </w:rPr>
        <w:t>省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shd w:val="clear" w:color="auto" w:fill="auto"/>
        </w:rPr>
        <w:t>级首次试用的创新产</w:t>
      </w:r>
      <w:r>
        <w:rPr>
          <w:rFonts w:hint="default" w:ascii="Times New Roman" w:hAnsi="Times New Roman" w:eastAsia="方正仿宋_GBK" w:cs="Times New Roman"/>
          <w:spacing w:val="-2"/>
          <w:sz w:val="32"/>
          <w:szCs w:val="32"/>
          <w:highlight w:val="none"/>
          <w:shd w:val="clear" w:color="auto" w:fill="auto"/>
        </w:rPr>
        <w:t>品、首台（套）</w:t>
      </w:r>
      <w:r>
        <w:rPr>
          <w:rFonts w:hint="default" w:ascii="Times New Roman" w:hAnsi="Times New Roman" w:eastAsia="方正仿宋_GBK" w:cs="Times New Roman"/>
          <w:spacing w:val="-5"/>
          <w:sz w:val="32"/>
          <w:szCs w:val="32"/>
          <w:highlight w:val="none"/>
          <w:shd w:val="clear" w:color="auto" w:fill="auto"/>
        </w:rPr>
        <w:t>奖励支持的企业，按照</w:t>
      </w:r>
      <w:r>
        <w:rPr>
          <w:rFonts w:hint="default" w:ascii="Times New Roman" w:hAnsi="Times New Roman" w:eastAsia="方正仿宋_GBK" w:cs="Times New Roman"/>
          <w:spacing w:val="-5"/>
          <w:sz w:val="32"/>
          <w:szCs w:val="32"/>
          <w:highlight w:val="none"/>
          <w:shd w:val="clear" w:color="auto" w:fill="auto"/>
          <w:lang w:eastAsia="zh-CN"/>
        </w:rPr>
        <w:t>省</w:t>
      </w:r>
      <w:r>
        <w:rPr>
          <w:rFonts w:hint="default" w:ascii="Times New Roman" w:hAnsi="Times New Roman" w:eastAsia="方正仿宋_GBK" w:cs="Times New Roman"/>
          <w:spacing w:val="-5"/>
          <w:sz w:val="32"/>
          <w:szCs w:val="32"/>
          <w:highlight w:val="none"/>
          <w:shd w:val="clear" w:color="auto" w:fill="auto"/>
        </w:rPr>
        <w:t>级</w:t>
      </w:r>
      <w:r>
        <w:rPr>
          <w:rFonts w:hint="default" w:ascii="Times New Roman" w:hAnsi="Times New Roman" w:eastAsia="方正仿宋_GBK" w:cs="Times New Roman"/>
          <w:spacing w:val="-5"/>
          <w:sz w:val="32"/>
          <w:szCs w:val="32"/>
          <w:highlight w:val="none"/>
          <w:shd w:val="clear" w:color="auto" w:fill="auto"/>
          <w:lang w:eastAsia="zh-CN"/>
        </w:rPr>
        <w:t>奖励</w:t>
      </w:r>
      <w:r>
        <w:rPr>
          <w:rFonts w:hint="default" w:ascii="Times New Roman" w:hAnsi="Times New Roman" w:eastAsia="方正仿宋_GBK" w:cs="Times New Roman"/>
          <w:spacing w:val="-5"/>
          <w:sz w:val="32"/>
          <w:szCs w:val="32"/>
          <w:highlight w:val="none"/>
          <w:shd w:val="clear" w:color="auto" w:fill="auto"/>
        </w:rPr>
        <w:t>资金</w:t>
      </w:r>
      <w:r>
        <w:rPr>
          <w:rFonts w:hint="default" w:ascii="Times New Roman" w:hAnsi="Times New Roman" w:eastAsia="方正仿宋_GBK" w:cs="Times New Roman"/>
          <w:spacing w:val="-5"/>
          <w:sz w:val="32"/>
          <w:szCs w:val="32"/>
          <w:highlight w:val="none"/>
          <w:shd w:val="clear" w:color="auto" w:fill="auto"/>
          <w:lang w:eastAsia="zh-CN"/>
        </w:rPr>
        <w:t>的</w:t>
      </w:r>
      <w:r>
        <w:rPr>
          <w:rFonts w:hint="default" w:ascii="Times New Roman" w:hAnsi="Times New Roman" w:eastAsia="方正仿宋_GBK" w:cs="Times New Roman"/>
          <w:spacing w:val="-2"/>
          <w:sz w:val="32"/>
          <w:szCs w:val="32"/>
          <w:highlight w:val="none"/>
          <w:shd w:val="clear" w:color="auto" w:fill="auto"/>
        </w:rPr>
        <w:t>50%予以</w:t>
      </w:r>
      <w:r>
        <w:rPr>
          <w:rFonts w:hint="default" w:ascii="Times New Roman" w:hAnsi="Times New Roman" w:eastAsia="方正仿宋_GBK" w:cs="Times New Roman"/>
          <w:spacing w:val="-2"/>
          <w:sz w:val="32"/>
          <w:szCs w:val="32"/>
          <w:highlight w:val="none"/>
          <w:shd w:val="clear" w:color="auto" w:fill="auto"/>
          <w:lang w:eastAsia="zh-CN"/>
        </w:rPr>
        <w:t>配套支持</w:t>
      </w:r>
      <w:r>
        <w:rPr>
          <w:rFonts w:hint="default" w:ascii="Times New Roman" w:hAnsi="Times New Roman" w:eastAsia="方正仿宋_GBK" w:cs="Times New Roman"/>
          <w:spacing w:val="-2"/>
          <w:sz w:val="32"/>
          <w:szCs w:val="32"/>
          <w:highlight w:val="none"/>
          <w:shd w:val="clear" w:color="auto" w:fill="auto"/>
        </w:rPr>
        <w:t xml:space="preserve">，最高 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shd w:val="clear" w:color="auto" w:fill="auto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shd w:val="clear" w:color="auto" w:fill="auto"/>
        </w:rPr>
        <w:t>0</w:t>
      </w:r>
      <w:r>
        <w:rPr>
          <w:rFonts w:hint="default" w:ascii="Times New Roman" w:hAnsi="Times New Roman" w:eastAsia="方正仿宋_GBK" w:cs="Times New Roman"/>
          <w:spacing w:val="-2"/>
          <w:sz w:val="32"/>
          <w:szCs w:val="32"/>
          <w:highlight w:val="none"/>
          <w:shd w:val="clear" w:color="auto" w:fill="auto"/>
        </w:rPr>
        <w:t xml:space="preserve"> 万元。支持高校院所人形机器人领域技术成果转化落</w:t>
      </w:r>
      <w:r>
        <w:rPr>
          <w:rFonts w:hint="default" w:ascii="Times New Roman" w:hAnsi="Times New Roman" w:eastAsia="方正仿宋_GBK" w:cs="Times New Roman"/>
          <w:spacing w:val="-14"/>
          <w:sz w:val="32"/>
          <w:szCs w:val="32"/>
          <w:highlight w:val="none"/>
          <w:shd w:val="clear" w:color="auto" w:fill="auto"/>
        </w:rPr>
        <w:t>地，对技术交易</w:t>
      </w:r>
      <w:r>
        <w:rPr>
          <w:rFonts w:hint="default" w:ascii="Times New Roman" w:hAnsi="Times New Roman" w:eastAsia="方正仿宋_GBK" w:cs="Times New Roman"/>
          <w:spacing w:val="-14"/>
          <w:sz w:val="32"/>
          <w:szCs w:val="32"/>
          <w:highlight w:val="none"/>
          <w:shd w:val="clear" w:color="auto" w:fill="auto"/>
          <w:lang w:eastAsia="zh-CN"/>
        </w:rPr>
        <w:t>购买</w:t>
      </w:r>
      <w:r>
        <w:rPr>
          <w:rFonts w:hint="default" w:ascii="Times New Roman" w:hAnsi="Times New Roman" w:eastAsia="方正仿宋_GBK" w:cs="Times New Roman"/>
          <w:spacing w:val="-14"/>
          <w:sz w:val="32"/>
          <w:szCs w:val="32"/>
          <w:highlight w:val="none"/>
          <w:shd w:val="clear" w:color="auto" w:fill="auto"/>
        </w:rPr>
        <w:t xml:space="preserve">方按合同实际成交额 </w:t>
      </w:r>
      <w:r>
        <w:rPr>
          <w:rFonts w:hint="default" w:ascii="Times New Roman" w:hAnsi="Times New Roman" w:eastAsia="方正仿宋_GBK" w:cs="Times New Roman"/>
          <w:spacing w:val="-4"/>
          <w:sz w:val="32"/>
          <w:szCs w:val="32"/>
          <w:highlight w:val="none"/>
          <w:shd w:val="clear" w:color="auto" w:fill="auto"/>
        </w:rPr>
        <w:t>5</w:t>
      </w:r>
      <w:r>
        <w:rPr>
          <w:rFonts w:hint="default" w:ascii="Times New Roman" w:hAnsi="Times New Roman" w:eastAsia="方正仿宋_GBK" w:cs="Times New Roman"/>
          <w:spacing w:val="-14"/>
          <w:sz w:val="32"/>
          <w:szCs w:val="32"/>
          <w:highlight w:val="none"/>
          <w:shd w:val="clear" w:color="auto" w:fill="auto"/>
        </w:rPr>
        <w:t xml:space="preserve">%予以补助，最高 </w:t>
      </w:r>
      <w:r>
        <w:rPr>
          <w:rFonts w:hint="default" w:ascii="Times New Roman" w:hAnsi="Times New Roman" w:eastAsia="方正仿宋_GBK" w:cs="Times New Roman"/>
          <w:spacing w:val="-4"/>
          <w:sz w:val="32"/>
          <w:szCs w:val="32"/>
          <w:highlight w:val="none"/>
          <w:shd w:val="clear" w:color="auto" w:fill="auto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pacing w:val="-4"/>
          <w:sz w:val="32"/>
          <w:szCs w:val="32"/>
          <w:highlight w:val="none"/>
          <w:shd w:val="clear" w:color="auto" w:fill="auto"/>
        </w:rPr>
        <w:t>0万元。</w:t>
      </w:r>
      <w:r>
        <w:rPr>
          <w:rFonts w:hint="default" w:ascii="Times New Roman" w:hAnsi="Times New Roman" w:eastAsia="方正楷体_GBK" w:cs="Times New Roman"/>
          <w:spacing w:val="-6"/>
          <w:sz w:val="32"/>
          <w:szCs w:val="32"/>
          <w:highlight w:val="none"/>
          <w:shd w:val="clear" w:color="auto" w:fill="auto"/>
          <w:lang w:eastAsia="zh-CN"/>
        </w:rPr>
        <w:t>（责任部门：光电办、工信局、财政局）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106" w:right="100" w:firstLine="64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highlight w:val="none"/>
          <w:shd w:val="clear" w:color="auto" w:fill="auto"/>
        </w:rPr>
      </w:pPr>
      <w:r>
        <w:rPr>
          <w:rFonts w:hint="default" w:ascii="Times New Roman" w:hAnsi="Times New Roman" w:eastAsia="方正黑体_GBK" w:cs="Times New Roman"/>
          <w:b w:val="0"/>
          <w:bCs w:val="0"/>
          <w:spacing w:val="-12"/>
          <w:sz w:val="32"/>
          <w:szCs w:val="32"/>
          <w:highlight w:val="none"/>
          <w:shd w:val="clear" w:color="auto" w:fill="auto"/>
          <w:lang w:eastAsia="zh-CN"/>
        </w:rPr>
        <w:t>四、支持建设产业服务平台。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shd w:val="clear" w:color="auto" w:fill="auto"/>
        </w:rPr>
        <w:t>支持建设具身数据采集训</w:t>
      </w:r>
      <w:r>
        <w:rPr>
          <w:rFonts w:hint="default" w:ascii="Times New Roman" w:hAnsi="Times New Roman" w:eastAsia="方正仿宋_GBK" w:cs="Times New Roman"/>
          <w:spacing w:val="-6"/>
          <w:sz w:val="32"/>
          <w:szCs w:val="32"/>
          <w:highlight w:val="none"/>
          <w:shd w:val="clear" w:color="auto" w:fill="auto"/>
        </w:rPr>
        <w:t>练、感控一体研发验证、软硬件测评等服务平台，经评定，按照</w:t>
      </w:r>
      <w:r>
        <w:rPr>
          <w:rFonts w:hint="default" w:ascii="Times New Roman" w:hAnsi="Times New Roman" w:eastAsia="方正仿宋_GBK" w:cs="Times New Roman"/>
          <w:spacing w:val="-13"/>
          <w:sz w:val="32"/>
          <w:szCs w:val="32"/>
          <w:highlight w:val="none"/>
          <w:shd w:val="clear" w:color="auto" w:fill="auto"/>
        </w:rPr>
        <w:t>投资额 10</w:t>
      </w:r>
      <w:r>
        <w:rPr>
          <w:rFonts w:hint="default" w:ascii="Times New Roman" w:hAnsi="Times New Roman" w:eastAsia="方正仿宋_GBK" w:cs="Times New Roman"/>
          <w:spacing w:val="-10"/>
          <w:sz w:val="32"/>
          <w:szCs w:val="32"/>
          <w:highlight w:val="none"/>
          <w:shd w:val="clear" w:color="auto" w:fill="auto"/>
        </w:rPr>
        <w:t xml:space="preserve">%予以补助，最高 </w:t>
      </w:r>
      <w:r>
        <w:rPr>
          <w:rFonts w:hint="default" w:ascii="Times New Roman" w:hAnsi="Times New Roman" w:eastAsia="方正仿宋_GBK" w:cs="Times New Roman"/>
          <w:spacing w:val="-6"/>
          <w:sz w:val="32"/>
          <w:szCs w:val="32"/>
          <w:highlight w:val="none"/>
          <w:shd w:val="clear" w:color="auto" w:fill="auto"/>
          <w:lang w:val="en-US" w:eastAsia="zh-CN"/>
        </w:rPr>
        <w:t>100</w:t>
      </w:r>
      <w:r>
        <w:rPr>
          <w:rFonts w:hint="default" w:ascii="Times New Roman" w:hAnsi="Times New Roman" w:eastAsia="方正仿宋_GBK" w:cs="Times New Roman"/>
          <w:spacing w:val="-12"/>
          <w:sz w:val="32"/>
          <w:szCs w:val="32"/>
          <w:highlight w:val="none"/>
          <w:shd w:val="clear" w:color="auto" w:fill="auto"/>
        </w:rPr>
        <w:t>万元；对获得市级及以上支持的</w:t>
      </w:r>
      <w:r>
        <w:rPr>
          <w:rFonts w:hint="default" w:ascii="Times New Roman" w:hAnsi="Times New Roman" w:eastAsia="方正仿宋_GBK" w:cs="Times New Roman"/>
          <w:spacing w:val="-3"/>
          <w:sz w:val="32"/>
          <w:szCs w:val="32"/>
          <w:highlight w:val="none"/>
          <w:shd w:val="clear" w:color="auto" w:fill="auto"/>
        </w:rPr>
        <w:t>平台，按照支持资金10</w:t>
      </w:r>
      <w:r>
        <w:rPr>
          <w:rFonts w:hint="default" w:ascii="Times New Roman" w:hAnsi="Times New Roman" w:eastAsia="方正仿宋_GBK" w:cs="Times New Roman"/>
          <w:spacing w:val="-4"/>
          <w:sz w:val="32"/>
          <w:szCs w:val="32"/>
          <w:highlight w:val="none"/>
          <w:shd w:val="clear" w:color="auto" w:fill="auto"/>
        </w:rPr>
        <w:t xml:space="preserve">%予以补助，最高 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shd w:val="clear" w:color="auto" w:fill="auto"/>
        </w:rPr>
        <w:t>200</w:t>
      </w:r>
      <w:r>
        <w:rPr>
          <w:rFonts w:hint="default" w:ascii="Times New Roman" w:hAnsi="Times New Roman" w:eastAsia="方正仿宋_GBK" w:cs="Times New Roman"/>
          <w:spacing w:val="-8"/>
          <w:sz w:val="32"/>
          <w:szCs w:val="32"/>
          <w:highlight w:val="none"/>
          <w:shd w:val="clear" w:color="auto" w:fill="auto"/>
        </w:rPr>
        <w:t>万元。</w:t>
      </w:r>
      <w:r>
        <w:rPr>
          <w:rFonts w:hint="default" w:ascii="Times New Roman" w:hAnsi="Times New Roman" w:eastAsia="方正楷体_GBK" w:cs="Times New Roman"/>
          <w:spacing w:val="-6"/>
          <w:sz w:val="32"/>
          <w:szCs w:val="32"/>
          <w:highlight w:val="none"/>
          <w:shd w:val="clear" w:color="auto" w:fill="auto"/>
          <w:lang w:eastAsia="zh-CN"/>
        </w:rPr>
        <w:t>（责任部门：光电办、科技局、财政局）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106" w:right="100" w:firstLine="64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spacing w:val="-12"/>
          <w:sz w:val="32"/>
          <w:szCs w:val="32"/>
          <w:highlight w:val="none"/>
          <w:shd w:val="clear" w:color="auto" w:fill="auto"/>
          <w:lang w:eastAsia="zh-CN"/>
        </w:rPr>
        <w:t>五、支持打造创新策源平台。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  <w:shd w:val="clear" w:color="auto" w:fill="auto"/>
        </w:rPr>
        <w:t>对于新建或新认定的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  <w:shd w:val="clear" w:color="auto" w:fill="auto"/>
          <w:lang w:eastAsia="zh-CN"/>
        </w:rPr>
        <w:t>市</w:t>
      </w:r>
      <w:r>
        <w:rPr>
          <w:rFonts w:hint="default" w:ascii="Times New Roman" w:hAnsi="Times New Roman" w:eastAsia="方正仿宋_GBK" w:cs="Times New Roman"/>
          <w:color w:val="000000"/>
          <w:spacing w:val="-9"/>
          <w:sz w:val="32"/>
          <w:szCs w:val="32"/>
          <w:highlight w:val="none"/>
          <w:shd w:val="clear" w:color="auto" w:fill="auto"/>
        </w:rPr>
        <w:t>级</w:t>
      </w:r>
      <w:r>
        <w:rPr>
          <w:rFonts w:hint="default" w:ascii="Times New Roman" w:hAnsi="Times New Roman" w:eastAsia="方正仿宋_GBK" w:cs="Times New Roman"/>
          <w:color w:val="000000"/>
          <w:spacing w:val="-9"/>
          <w:sz w:val="32"/>
          <w:szCs w:val="32"/>
          <w:highlight w:val="none"/>
          <w:shd w:val="clear" w:color="auto" w:fill="auto"/>
          <w:lang w:eastAsia="zh-CN"/>
        </w:rPr>
        <w:t>及以上</w:t>
      </w:r>
      <w:r>
        <w:rPr>
          <w:rFonts w:hint="default" w:ascii="Times New Roman" w:hAnsi="Times New Roman" w:eastAsia="方正仿宋_GBK" w:cs="Times New Roman"/>
          <w:color w:val="000000"/>
          <w:spacing w:val="-9"/>
          <w:sz w:val="32"/>
          <w:szCs w:val="32"/>
          <w:highlight w:val="none"/>
          <w:shd w:val="clear" w:color="auto" w:fill="auto"/>
        </w:rPr>
        <w:t>人形机器人相关重点实验室，</w:t>
      </w:r>
      <w:r>
        <w:rPr>
          <w:rFonts w:hint="default" w:ascii="Times New Roman" w:hAnsi="Times New Roman" w:eastAsia="方正仿宋_GBK" w:cs="Times New Roman"/>
          <w:color w:val="000000"/>
          <w:spacing w:val="-9"/>
          <w:sz w:val="32"/>
          <w:szCs w:val="32"/>
          <w:highlight w:val="none"/>
          <w:shd w:val="clear" w:color="auto" w:fill="auto"/>
          <w:lang w:eastAsia="zh-CN"/>
        </w:rPr>
        <w:t>给</w:t>
      </w:r>
      <w:r>
        <w:rPr>
          <w:rFonts w:hint="default" w:ascii="Times New Roman" w:hAnsi="Times New Roman" w:eastAsia="方正仿宋_GBK" w:cs="Times New Roman"/>
          <w:color w:val="000000"/>
          <w:spacing w:val="-10"/>
          <w:sz w:val="32"/>
          <w:szCs w:val="32"/>
          <w:highlight w:val="none"/>
          <w:shd w:val="clear" w:color="auto" w:fill="auto"/>
        </w:rPr>
        <w:t>予</w:t>
      </w:r>
      <w:r>
        <w:rPr>
          <w:rFonts w:hint="default" w:ascii="Times New Roman" w:hAnsi="Times New Roman" w:eastAsia="方正仿宋_GBK" w:cs="Times New Roman"/>
          <w:color w:val="000000"/>
          <w:spacing w:val="-10"/>
          <w:sz w:val="32"/>
          <w:szCs w:val="32"/>
          <w:highlight w:val="none"/>
          <w:shd w:val="clear" w:color="auto" w:fill="auto"/>
          <w:lang w:eastAsia="zh-CN"/>
        </w:rPr>
        <w:t>运营单位</w:t>
      </w:r>
      <w:r>
        <w:rPr>
          <w:rFonts w:hint="default" w:ascii="Times New Roman" w:hAnsi="Times New Roman" w:eastAsia="方正仿宋_GBK" w:cs="Times New Roman"/>
          <w:color w:val="000000"/>
          <w:spacing w:val="-10"/>
          <w:sz w:val="32"/>
          <w:szCs w:val="32"/>
          <w:highlight w:val="none"/>
          <w:shd w:val="clear" w:color="auto" w:fill="auto"/>
        </w:rPr>
        <w:t xml:space="preserve">每年不超过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  <w:shd w:val="clear" w:color="auto" w:fill="auto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  <w:shd w:val="clear" w:color="auto" w:fill="auto"/>
        </w:rPr>
        <w:t>00</w:t>
      </w:r>
      <w:r>
        <w:rPr>
          <w:rFonts w:hint="default" w:ascii="Times New Roman" w:hAnsi="Times New Roman" w:eastAsia="方正仿宋_GBK" w:cs="Times New Roman"/>
          <w:color w:val="000000"/>
          <w:spacing w:val="-7"/>
          <w:sz w:val="32"/>
          <w:szCs w:val="32"/>
          <w:highlight w:val="none"/>
          <w:shd w:val="clear" w:color="auto" w:fill="auto"/>
        </w:rPr>
        <w:t xml:space="preserve"> 万元运营经费支持，连续</w:t>
      </w:r>
      <w:r>
        <w:rPr>
          <w:rFonts w:hint="default" w:ascii="Times New Roman" w:hAnsi="Times New Roman" w:eastAsia="方正仿宋_GBK" w:cs="Times New Roman"/>
          <w:color w:val="000000"/>
          <w:spacing w:val="-2"/>
          <w:sz w:val="32"/>
          <w:szCs w:val="32"/>
          <w:highlight w:val="none"/>
          <w:shd w:val="clear" w:color="auto" w:fill="auto"/>
        </w:rPr>
        <w:t>支持不超过三年</w:t>
      </w:r>
      <w:r>
        <w:rPr>
          <w:rFonts w:hint="default" w:ascii="Times New Roman" w:hAnsi="Times New Roman" w:eastAsia="方正仿宋_GBK" w:cs="Times New Roman"/>
          <w:color w:val="000000"/>
          <w:spacing w:val="-2"/>
          <w:sz w:val="32"/>
          <w:szCs w:val="32"/>
          <w:highlight w:val="none"/>
          <w:shd w:val="clear" w:color="auto" w:fill="auto"/>
          <w:lang w:eastAsia="zh-CN"/>
        </w:rPr>
        <w:t>。</w:t>
      </w:r>
      <w:r>
        <w:rPr>
          <w:rFonts w:hint="default" w:ascii="Times New Roman" w:hAnsi="Times New Roman" w:eastAsia="方正楷体_GBK" w:cs="Times New Roman"/>
          <w:spacing w:val="-6"/>
          <w:sz w:val="32"/>
          <w:szCs w:val="32"/>
          <w:highlight w:val="none"/>
          <w:shd w:val="clear" w:color="auto" w:fill="auto"/>
          <w:lang w:eastAsia="zh-CN"/>
        </w:rPr>
        <w:t>（责任部门：光电办、科技局、财政局）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106" w:right="100" w:firstLine="640"/>
        <w:jc w:val="both"/>
        <w:textAlignment w:val="auto"/>
        <w:rPr>
          <w:rFonts w:hint="default" w:ascii="Times New Roman" w:hAnsi="Times New Roman" w:eastAsia="方正黑体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spacing w:val="-12"/>
          <w:sz w:val="32"/>
          <w:szCs w:val="32"/>
          <w:highlight w:val="none"/>
          <w:shd w:val="clear" w:color="auto" w:fill="auto"/>
          <w:lang w:eastAsia="zh-CN"/>
        </w:rPr>
        <w:t>六、支持建设产业运营平台。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shd w:val="clear" w:color="auto" w:fill="auto"/>
        </w:rPr>
        <w:t>支持专业化运营机构运营人形机器</w:t>
      </w:r>
      <w:r>
        <w:rPr>
          <w:rFonts w:hint="default" w:ascii="Times New Roman" w:hAnsi="Times New Roman" w:eastAsia="方正仿宋_GBK" w:cs="Times New Roman"/>
          <w:spacing w:val="-18"/>
          <w:sz w:val="32"/>
          <w:szCs w:val="32"/>
          <w:highlight w:val="none"/>
          <w:shd w:val="clear" w:color="auto" w:fill="auto"/>
        </w:rPr>
        <w:t xml:space="preserve">人产业基地，经评审，予以年度运营经费支持，每年不超过 </w:t>
      </w:r>
      <w:r>
        <w:rPr>
          <w:rFonts w:hint="default" w:ascii="Times New Roman" w:hAnsi="Times New Roman" w:eastAsia="方正仿宋_GBK" w:cs="Times New Roman"/>
          <w:spacing w:val="-18"/>
          <w:sz w:val="32"/>
          <w:szCs w:val="32"/>
          <w:highlight w:val="none"/>
          <w:shd w:val="clear" w:color="auto" w:fill="auto"/>
          <w:lang w:val="en-US" w:eastAsia="zh-CN"/>
        </w:rPr>
        <w:t>100</w:t>
      </w:r>
      <w:r>
        <w:rPr>
          <w:rFonts w:hint="default" w:ascii="Times New Roman" w:hAnsi="Times New Roman" w:eastAsia="方正仿宋_GBK" w:cs="Times New Roman"/>
          <w:spacing w:val="-2"/>
          <w:sz w:val="32"/>
          <w:szCs w:val="32"/>
          <w:highlight w:val="none"/>
          <w:shd w:val="clear" w:color="auto" w:fill="auto"/>
        </w:rPr>
        <w:t>万元，支持周期一般不超过三年。</w:t>
      </w:r>
      <w:r>
        <w:rPr>
          <w:rFonts w:hint="default" w:ascii="Times New Roman" w:hAnsi="Times New Roman" w:eastAsia="方正楷体_GBK" w:cs="Times New Roman"/>
          <w:spacing w:val="-6"/>
          <w:sz w:val="32"/>
          <w:szCs w:val="32"/>
          <w:highlight w:val="none"/>
          <w:shd w:val="clear" w:color="auto" w:fill="auto"/>
          <w:lang w:eastAsia="zh-CN"/>
        </w:rPr>
        <w:t>（责任部门：光电办、科技局、财政局、国资局）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106" w:right="227" w:firstLine="640"/>
        <w:jc w:val="both"/>
        <w:textAlignment w:val="auto"/>
        <w:rPr>
          <w:rFonts w:hint="default" w:ascii="Times New Roman" w:hAnsi="Times New Roman" w:eastAsia="方正仿宋_GBK" w:cs="Times New Roman"/>
          <w:color w:val="000000"/>
          <w:spacing w:val="-5"/>
          <w:sz w:val="32"/>
          <w:szCs w:val="32"/>
          <w:highlight w:val="none"/>
          <w:shd w:val="clear" w:color="auto" w:fill="auto"/>
          <w:lang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spacing w:val="-12"/>
          <w:sz w:val="32"/>
          <w:szCs w:val="32"/>
          <w:highlight w:val="none"/>
          <w:shd w:val="clear" w:color="auto" w:fill="auto"/>
          <w:lang w:val="en-US" w:eastAsia="zh-CN" w:bidi="ar-SA"/>
        </w:rPr>
        <w:t>七、支持场景示范应用。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  <w:shd w:val="clear" w:color="auto" w:fill="auto"/>
        </w:rPr>
        <w:t>鼓励围绕消费金融、特种应</w:t>
      </w:r>
      <w:r>
        <w:rPr>
          <w:rFonts w:hint="default" w:ascii="Times New Roman" w:hAnsi="Times New Roman" w:eastAsia="方正仿宋_GBK" w:cs="Times New Roman"/>
          <w:color w:val="000000"/>
          <w:spacing w:val="-2"/>
          <w:sz w:val="32"/>
          <w:szCs w:val="32"/>
          <w:highlight w:val="none"/>
          <w:shd w:val="clear" w:color="auto" w:fill="auto"/>
        </w:rPr>
        <w:t>急、工业、医疗、养老、物流、商业、建筑等领域打造一批示范</w:t>
      </w:r>
      <w:r>
        <w:rPr>
          <w:rFonts w:hint="default" w:ascii="Times New Roman" w:hAnsi="Times New Roman" w:eastAsia="方正仿宋_GBK" w:cs="Times New Roman"/>
          <w:color w:val="000000"/>
          <w:spacing w:val="-14"/>
          <w:sz w:val="32"/>
          <w:szCs w:val="32"/>
          <w:highlight w:val="none"/>
          <w:shd w:val="clear" w:color="auto" w:fill="auto"/>
        </w:rPr>
        <w:t>性强、影响力大的应用场景。</w:t>
      </w:r>
      <w:r>
        <w:rPr>
          <w:rFonts w:hint="default" w:ascii="Times New Roman" w:hAnsi="Times New Roman" w:eastAsia="方正仿宋_GBK" w:cs="Times New Roman"/>
          <w:color w:val="000000"/>
          <w:spacing w:val="-10"/>
          <w:sz w:val="32"/>
          <w:szCs w:val="32"/>
          <w:highlight w:val="none"/>
          <w:shd w:val="clear" w:color="auto" w:fill="auto"/>
        </w:rPr>
        <w:t>对</w:t>
      </w:r>
      <w:r>
        <w:rPr>
          <w:rFonts w:hint="default" w:ascii="Times New Roman" w:hAnsi="Times New Roman" w:eastAsia="方正仿宋_GBK" w:cs="Times New Roman"/>
          <w:color w:val="000000"/>
          <w:spacing w:val="-10"/>
          <w:sz w:val="32"/>
          <w:szCs w:val="32"/>
          <w:highlight w:val="none"/>
          <w:shd w:val="clear" w:color="auto" w:fill="auto"/>
          <w:lang w:eastAsia="zh-CN"/>
        </w:rPr>
        <w:t>市</w:t>
      </w:r>
      <w:r>
        <w:rPr>
          <w:rFonts w:hint="default" w:ascii="Times New Roman" w:hAnsi="Times New Roman" w:eastAsia="方正仿宋_GBK" w:cs="Times New Roman"/>
          <w:color w:val="000000"/>
          <w:spacing w:val="-6"/>
          <w:sz w:val="32"/>
          <w:szCs w:val="32"/>
          <w:highlight w:val="none"/>
          <w:shd w:val="clear" w:color="auto" w:fill="auto"/>
        </w:rPr>
        <w:t xml:space="preserve">级应用场景重大项目，经认定，按照项目投资额 </w:t>
      </w:r>
      <w:r>
        <w:rPr>
          <w:rFonts w:hint="default" w:ascii="Times New Roman" w:hAnsi="Times New Roman" w:eastAsia="方正仿宋_GBK" w:cs="Times New Roman"/>
          <w:color w:val="000000"/>
          <w:spacing w:val="-2"/>
          <w:sz w:val="32"/>
          <w:szCs w:val="32"/>
          <w:highlight w:val="none"/>
          <w:shd w:val="clear" w:color="auto" w:fill="auto"/>
        </w:rPr>
        <w:t>30％予以补助，</w:t>
      </w:r>
      <w:r>
        <w:rPr>
          <w:rFonts w:hint="default" w:ascii="Times New Roman" w:hAnsi="Times New Roman" w:eastAsia="方正仿宋_GBK" w:cs="Times New Roman"/>
          <w:color w:val="000000"/>
          <w:spacing w:val="-7"/>
          <w:sz w:val="32"/>
          <w:szCs w:val="32"/>
          <w:highlight w:val="none"/>
          <w:shd w:val="clear" w:color="auto" w:fill="auto"/>
        </w:rPr>
        <w:t xml:space="preserve">最高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  <w:shd w:val="clear" w:color="auto" w:fill="auto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  <w:shd w:val="clear" w:color="auto" w:fill="auto"/>
        </w:rPr>
        <w:t>00</w:t>
      </w:r>
      <w:r>
        <w:rPr>
          <w:rFonts w:hint="default" w:ascii="Times New Roman" w:hAnsi="Times New Roman" w:eastAsia="方正仿宋_GBK" w:cs="Times New Roman"/>
          <w:color w:val="000000"/>
          <w:spacing w:val="-5"/>
          <w:sz w:val="32"/>
          <w:szCs w:val="32"/>
          <w:highlight w:val="none"/>
          <w:shd w:val="clear" w:color="auto" w:fill="auto"/>
        </w:rPr>
        <w:t xml:space="preserve"> 万元</w:t>
      </w:r>
      <w:r>
        <w:rPr>
          <w:rFonts w:hint="default" w:ascii="Times New Roman" w:hAnsi="Times New Roman" w:eastAsia="方正仿宋_GBK" w:cs="Times New Roman"/>
          <w:color w:val="000000"/>
          <w:spacing w:val="-10"/>
          <w:sz w:val="32"/>
          <w:szCs w:val="32"/>
          <w:highlight w:val="none"/>
          <w:shd w:val="clear" w:color="auto" w:fill="auto"/>
        </w:rPr>
        <w:t>；</w:t>
      </w:r>
      <w:r>
        <w:rPr>
          <w:rFonts w:hint="default" w:ascii="Times New Roman" w:hAnsi="Times New Roman" w:eastAsia="方正仿宋_GBK" w:cs="Times New Roman"/>
          <w:color w:val="000000"/>
          <w:spacing w:val="-14"/>
          <w:sz w:val="32"/>
          <w:szCs w:val="32"/>
          <w:highlight w:val="none"/>
          <w:shd w:val="clear" w:color="auto" w:fill="auto"/>
        </w:rPr>
        <w:t>对获得</w:t>
      </w:r>
      <w:r>
        <w:rPr>
          <w:rFonts w:hint="default" w:ascii="Times New Roman" w:hAnsi="Times New Roman" w:eastAsia="方正仿宋_GBK" w:cs="Times New Roman"/>
          <w:color w:val="000000"/>
          <w:spacing w:val="-14"/>
          <w:sz w:val="32"/>
          <w:szCs w:val="32"/>
          <w:highlight w:val="none"/>
          <w:shd w:val="clear" w:color="auto" w:fill="auto"/>
          <w:lang w:eastAsia="zh-CN"/>
        </w:rPr>
        <w:t>省</w:t>
      </w:r>
      <w:r>
        <w:rPr>
          <w:rFonts w:hint="default" w:ascii="Times New Roman" w:hAnsi="Times New Roman" w:eastAsia="方正仿宋_GBK" w:cs="Times New Roman"/>
          <w:color w:val="000000"/>
          <w:spacing w:val="-14"/>
          <w:sz w:val="32"/>
          <w:szCs w:val="32"/>
          <w:highlight w:val="none"/>
          <w:shd w:val="clear" w:color="auto" w:fill="auto"/>
        </w:rPr>
        <w:t>级应用场景支持的应用示</w:t>
      </w:r>
      <w:r>
        <w:rPr>
          <w:rFonts w:hint="default" w:ascii="Times New Roman" w:hAnsi="Times New Roman" w:eastAsia="方正仿宋_GBK" w:cs="Times New Roman"/>
          <w:color w:val="000000"/>
          <w:spacing w:val="-4"/>
          <w:sz w:val="32"/>
          <w:szCs w:val="32"/>
          <w:highlight w:val="none"/>
          <w:shd w:val="clear" w:color="auto" w:fill="auto"/>
        </w:rPr>
        <w:t>范项目，按照</w:t>
      </w:r>
      <w:r>
        <w:rPr>
          <w:rFonts w:hint="default" w:ascii="Times New Roman" w:hAnsi="Times New Roman" w:eastAsia="方正仿宋_GBK" w:cs="Times New Roman"/>
          <w:color w:val="000000"/>
          <w:spacing w:val="-4"/>
          <w:sz w:val="32"/>
          <w:szCs w:val="32"/>
          <w:highlight w:val="none"/>
          <w:shd w:val="clear" w:color="auto" w:fill="auto"/>
          <w:lang w:eastAsia="zh-CN"/>
        </w:rPr>
        <w:t>省</w:t>
      </w:r>
      <w:r>
        <w:rPr>
          <w:rFonts w:hint="default" w:ascii="Times New Roman" w:hAnsi="Times New Roman" w:eastAsia="方正仿宋_GBK" w:cs="Times New Roman"/>
          <w:color w:val="000000"/>
          <w:spacing w:val="-4"/>
          <w:sz w:val="32"/>
          <w:szCs w:val="32"/>
          <w:highlight w:val="none"/>
          <w:shd w:val="clear" w:color="auto" w:fill="auto"/>
        </w:rPr>
        <w:t xml:space="preserve">级支持资金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  <w:shd w:val="clear" w:color="auto" w:fill="auto"/>
        </w:rPr>
        <w:t>30</w:t>
      </w:r>
      <w:r>
        <w:rPr>
          <w:rFonts w:hint="default" w:ascii="Times New Roman" w:hAnsi="Times New Roman" w:eastAsia="方正仿宋_GBK" w:cs="Times New Roman"/>
          <w:color w:val="000000"/>
          <w:spacing w:val="-6"/>
          <w:sz w:val="32"/>
          <w:szCs w:val="32"/>
          <w:highlight w:val="none"/>
          <w:shd w:val="clear" w:color="auto" w:fill="auto"/>
        </w:rPr>
        <w:t xml:space="preserve">%予以补助，最高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  <w:shd w:val="clear" w:color="auto" w:fill="auto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  <w:shd w:val="clear" w:color="auto" w:fill="auto"/>
        </w:rPr>
        <w:t>00</w:t>
      </w:r>
      <w:r>
        <w:rPr>
          <w:rFonts w:hint="default" w:ascii="Times New Roman" w:hAnsi="Times New Roman" w:eastAsia="方正仿宋_GBK" w:cs="Times New Roman"/>
          <w:color w:val="000000"/>
          <w:spacing w:val="-10"/>
          <w:sz w:val="32"/>
          <w:szCs w:val="32"/>
          <w:highlight w:val="none"/>
          <w:shd w:val="clear" w:color="auto" w:fill="auto"/>
        </w:rPr>
        <w:t xml:space="preserve"> 万元</w:t>
      </w:r>
      <w:r>
        <w:rPr>
          <w:rFonts w:hint="default" w:ascii="Times New Roman" w:hAnsi="Times New Roman" w:eastAsia="方正仿宋_GBK" w:cs="Times New Roman"/>
          <w:color w:val="000000"/>
          <w:spacing w:val="-5"/>
          <w:sz w:val="32"/>
          <w:szCs w:val="32"/>
          <w:highlight w:val="none"/>
          <w:shd w:val="clear" w:color="auto" w:fill="auto"/>
          <w:lang w:eastAsia="zh-CN"/>
        </w:rPr>
        <w:t>。</w:t>
      </w:r>
      <w:r>
        <w:rPr>
          <w:rFonts w:hint="default" w:ascii="Times New Roman" w:hAnsi="Times New Roman" w:eastAsia="方正楷体_GBK" w:cs="Times New Roman"/>
          <w:spacing w:val="-6"/>
          <w:sz w:val="32"/>
          <w:szCs w:val="32"/>
          <w:highlight w:val="none"/>
          <w:shd w:val="clear" w:color="auto" w:fill="auto"/>
          <w:lang w:eastAsia="zh-CN"/>
        </w:rPr>
        <w:t>（责任部门：光电办、工信局、财政局）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" w:line="560" w:lineRule="exact"/>
        <w:ind w:left="106" w:right="102" w:firstLine="64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highlight w:val="none"/>
          <w:shd w:val="clear" w:color="auto" w:fill="auto"/>
          <w:lang w:eastAsia="zh-CN"/>
        </w:rPr>
      </w:pPr>
    </w:p>
    <w:p>
      <w:pPr>
        <w:ind w:firstLine="765" w:firstLineChars="250"/>
        <w:rPr>
          <w:rFonts w:hint="default" w:ascii="Times New Roman" w:hAnsi="Times New Roman" w:eastAsia="方正仿宋_GBK" w:cs="Times New Roman"/>
          <w:spacing w:val="-7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方正仿宋_GBK" w:cs="Times New Roman"/>
          <w:spacing w:val="-7"/>
          <w:sz w:val="32"/>
          <w:szCs w:val="32"/>
          <w:highlight w:val="none"/>
          <w:shd w:val="clear" w:color="auto" w:fill="auto"/>
          <w:lang w:val="en-US" w:eastAsia="zh-CN"/>
        </w:rPr>
        <w:t>以上措施自印发之日起试行，由相关责任部门负责制定具体实施细则，有效期至2026年12月31日，有明确期限的具体政策按其时限执行，国家、省市另有规定的从其规定。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" w:line="560" w:lineRule="exact"/>
        <w:ind w:right="102"/>
        <w:jc w:val="both"/>
        <w:textAlignment w:val="auto"/>
        <w:rPr>
          <w:rFonts w:hint="default" w:ascii="Times New Roman" w:hAnsi="Times New Roman" w:eastAsia="方正楷体_GBK" w:cs="Times New Roman"/>
          <w:sz w:val="32"/>
          <w:szCs w:val="32"/>
          <w:shd w:val="clear" w:color="auto" w:fill="auto"/>
          <w:lang w:eastAsia="zh-CN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" w:line="560" w:lineRule="exact"/>
        <w:ind w:right="102"/>
        <w:jc w:val="both"/>
        <w:textAlignment w:val="auto"/>
        <w:rPr>
          <w:rFonts w:hint="default" w:ascii="Times New Roman" w:hAnsi="Times New Roman" w:eastAsia="方正楷体_GBK" w:cs="Times New Roman"/>
          <w:sz w:val="32"/>
          <w:szCs w:val="32"/>
          <w:shd w:val="clear" w:color="auto" w:fill="auto"/>
          <w:lang w:eastAsia="zh-CN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" w:line="560" w:lineRule="exact"/>
        <w:ind w:right="102"/>
        <w:jc w:val="both"/>
        <w:textAlignment w:val="auto"/>
        <w:rPr>
          <w:rFonts w:hint="default" w:ascii="Times New Roman" w:hAnsi="Times New Roman" w:eastAsia="方正楷体_GBK" w:cs="Times New Roman"/>
          <w:sz w:val="32"/>
          <w:szCs w:val="32"/>
          <w:shd w:val="clear" w:color="auto" w:fill="auto"/>
          <w:lang w:eastAsia="zh-CN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" w:line="560" w:lineRule="exact"/>
        <w:ind w:right="102"/>
        <w:jc w:val="both"/>
        <w:textAlignment w:val="auto"/>
        <w:rPr>
          <w:rFonts w:hint="default" w:ascii="Times New Roman" w:hAnsi="Times New Roman" w:eastAsia="方正楷体_GBK" w:cs="Times New Roman"/>
          <w:sz w:val="32"/>
          <w:szCs w:val="32"/>
          <w:shd w:val="clear" w:color="auto" w:fill="auto"/>
          <w:lang w:eastAsia="zh-CN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" w:line="560" w:lineRule="exact"/>
        <w:ind w:right="102"/>
        <w:jc w:val="both"/>
        <w:textAlignment w:val="auto"/>
        <w:rPr>
          <w:rFonts w:hint="default" w:ascii="Times New Roman" w:hAnsi="Times New Roman" w:eastAsia="方正楷体_GBK" w:cs="Times New Roman"/>
          <w:sz w:val="32"/>
          <w:szCs w:val="32"/>
          <w:shd w:val="clear" w:color="auto" w:fill="auto"/>
          <w:lang w:eastAsia="zh-CN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" w:line="560" w:lineRule="exact"/>
        <w:ind w:right="102"/>
        <w:jc w:val="both"/>
        <w:textAlignment w:val="auto"/>
        <w:rPr>
          <w:rFonts w:hint="default" w:ascii="Times New Roman" w:hAnsi="Times New Roman" w:eastAsia="方正楷体_GBK" w:cs="Times New Roman"/>
          <w:sz w:val="32"/>
          <w:szCs w:val="32"/>
          <w:shd w:val="clear" w:color="auto" w:fill="auto"/>
          <w:lang w:eastAsia="zh-CN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" w:line="560" w:lineRule="exact"/>
        <w:ind w:right="102"/>
        <w:jc w:val="both"/>
        <w:textAlignment w:val="auto"/>
        <w:rPr>
          <w:rFonts w:hint="default" w:ascii="Times New Roman" w:hAnsi="Times New Roman" w:eastAsia="方正楷体_GBK" w:cs="Times New Roman"/>
          <w:sz w:val="32"/>
          <w:szCs w:val="32"/>
          <w:shd w:val="clear" w:color="auto" w:fill="auto"/>
          <w:lang w:eastAsia="zh-CN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" w:line="560" w:lineRule="exact"/>
        <w:ind w:right="102"/>
        <w:jc w:val="both"/>
        <w:textAlignment w:val="auto"/>
        <w:rPr>
          <w:rFonts w:hint="default" w:ascii="Times New Roman" w:hAnsi="Times New Roman" w:eastAsia="方正楷体_GBK" w:cs="Times New Roman"/>
          <w:sz w:val="32"/>
          <w:szCs w:val="32"/>
          <w:shd w:val="clear" w:color="auto" w:fill="auto"/>
          <w:lang w:eastAsia="zh-CN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" w:line="560" w:lineRule="exact"/>
        <w:ind w:right="102"/>
        <w:jc w:val="both"/>
        <w:textAlignment w:val="auto"/>
        <w:rPr>
          <w:rFonts w:hint="default" w:ascii="Times New Roman" w:hAnsi="Times New Roman" w:eastAsia="方正楷体_GBK" w:cs="Times New Roman"/>
          <w:sz w:val="32"/>
          <w:szCs w:val="32"/>
          <w:shd w:val="clear" w:color="auto" w:fill="auto"/>
          <w:lang w:eastAsia="zh-CN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" w:line="560" w:lineRule="exact"/>
        <w:ind w:right="102"/>
        <w:jc w:val="both"/>
        <w:textAlignment w:val="auto"/>
        <w:rPr>
          <w:rFonts w:hint="default" w:ascii="Times New Roman" w:hAnsi="Times New Roman" w:eastAsia="方正楷体_GBK" w:cs="Times New Roman"/>
          <w:sz w:val="32"/>
          <w:szCs w:val="32"/>
          <w:shd w:val="clear" w:color="auto" w:fill="auto"/>
          <w:lang w:eastAsia="zh-CN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" w:line="560" w:lineRule="exact"/>
        <w:ind w:right="102"/>
        <w:jc w:val="both"/>
        <w:textAlignment w:val="auto"/>
        <w:rPr>
          <w:rFonts w:hint="default" w:ascii="Times New Roman" w:hAnsi="Times New Roman" w:eastAsia="方正楷体_GBK" w:cs="Times New Roman"/>
          <w:sz w:val="32"/>
          <w:szCs w:val="32"/>
          <w:shd w:val="clear" w:color="auto" w:fill="auto"/>
          <w:lang w:eastAsia="zh-CN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" w:line="560" w:lineRule="exact"/>
        <w:ind w:right="102"/>
        <w:jc w:val="both"/>
        <w:textAlignment w:val="auto"/>
        <w:rPr>
          <w:rFonts w:hint="default" w:ascii="Times New Roman" w:hAnsi="Times New Roman" w:eastAsia="方正楷体_GBK" w:cs="Times New Roman"/>
          <w:sz w:val="32"/>
          <w:szCs w:val="32"/>
          <w:shd w:val="clear" w:color="auto" w:fill="auto"/>
          <w:lang w:eastAsia="zh-CN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" w:line="560" w:lineRule="exact"/>
        <w:ind w:right="102"/>
        <w:jc w:val="both"/>
        <w:textAlignment w:val="auto"/>
        <w:rPr>
          <w:rFonts w:hint="default" w:ascii="Times New Roman" w:hAnsi="Times New Roman" w:eastAsia="方正楷体_GBK" w:cs="Times New Roman"/>
          <w:sz w:val="32"/>
          <w:szCs w:val="32"/>
          <w:shd w:val="clear" w:color="auto" w:fill="auto"/>
          <w:lang w:eastAsia="zh-CN"/>
        </w:rPr>
      </w:pPr>
    </w:p>
    <w:bookmarkEnd w:id="0"/>
    <w:sectPr>
      <w:type w:val="continuous"/>
      <w:pgSz w:w="11920" w:h="16840"/>
      <w:pgMar w:top="2098" w:right="1474" w:bottom="1984" w:left="1587" w:header="0" w:footer="0" w:gutter="0"/>
      <w:cols w:space="0" w:num="1"/>
      <w:rtlGutter w:val="1"/>
      <w:docGrid w:linePitch="27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Droid Sans Fallback"/>
    <w:panose1 w:val="02010600030101010101"/>
    <w:charset w:val="50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Lucida Sans">
    <w:altName w:val="Noto Naskh Arabic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Noto Naskh Arabic">
    <w:panose1 w:val="020B0502040504020204"/>
    <w:charset w:val="00"/>
    <w:family w:val="auto"/>
    <w:pitch w:val="default"/>
    <w:sig w:usb0="80002003" w:usb1="80002000" w:usb2="00000008" w:usb3="00000000" w:csb0="00000041" w:csb1="0008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0"/>
  <w:drawingGridVerticalSpacing w:val="156"/>
  <w:displayHorizontalDrawingGridEvery w:val="0"/>
  <w:displayVerticalDrawingGridEvery w:val="1"/>
  <w:compat>
    <w:ulTrailSpace/>
    <w:doNotExpandShiftReturn/>
    <w:useFELayout/>
    <w:compatSetting w:name="compatibilityMode" w:uri="http://schemas.microsoft.com/office/word" w:val="14"/>
  </w:compat>
  <w:rsids>
    <w:rsidRoot w:val="00000000"/>
    <w:rsid w:val="1A20118C"/>
    <w:rsid w:val="42A61EC2"/>
    <w:rsid w:val="657BB7EE"/>
    <w:rsid w:val="D98EFF16"/>
    <w:rsid w:val="FE8FD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Lucida Sans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Arial" w:hAnsi="Arial" w:eastAsia="宋体" w:cs="Arial"/>
      <w:sz w:val="20"/>
      <w:szCs w:val="20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9"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4">
    <w:name w:val="heading 3"/>
    <w:basedOn w:val="1"/>
    <w:next w:val="1"/>
    <w:link w:val="10"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  <w:rPr>
      <w:rFonts w:ascii="宋体" w:hAnsi="宋体" w:eastAsia="宋体" w:cs="宋体"/>
      <w:sz w:val="32"/>
      <w:szCs w:val="32"/>
      <w:lang w:val="en-US" w:eastAsia="zh-CN" w:bidi="ar-SA"/>
    </w:rPr>
  </w:style>
  <w:style w:type="character" w:customStyle="1" w:styleId="8">
    <w:name w:val="heading 1 Char"/>
    <w:basedOn w:val="7"/>
    <w:link w:val="2"/>
    <w:qFormat/>
    <w:uiPriority w:val="0"/>
    <w:rPr>
      <w:rFonts w:ascii="Arial" w:hAnsi="Arial" w:eastAsia="宋体" w:cs="Arial"/>
      <w:b/>
      <w:bCs/>
      <w:kern w:val="44"/>
      <w:sz w:val="44"/>
      <w:szCs w:val="44"/>
      <w:lang w:val="en-US" w:eastAsia="zh-CN" w:bidi="ar-SA"/>
    </w:rPr>
  </w:style>
  <w:style w:type="character" w:customStyle="1" w:styleId="9">
    <w:name w:val="heading 2 Char"/>
    <w:basedOn w:val="7"/>
    <w:link w:val="3"/>
    <w:qFormat/>
    <w:uiPriority w:val="0"/>
    <w:rPr>
      <w:rFonts w:ascii="Times New Roman" w:hAnsi="Times New Roman" w:eastAsia="黑体" w:cs="Arial"/>
      <w:b/>
      <w:bCs/>
      <w:sz w:val="32"/>
      <w:szCs w:val="32"/>
      <w:lang w:val="en-US" w:eastAsia="zh-CN" w:bidi="ar-SA"/>
    </w:rPr>
  </w:style>
  <w:style w:type="character" w:customStyle="1" w:styleId="10">
    <w:name w:val="heading 3 Char"/>
    <w:basedOn w:val="7"/>
    <w:link w:val="4"/>
    <w:qFormat/>
    <w:uiPriority w:val="0"/>
    <w:rPr>
      <w:rFonts w:ascii="Arial" w:hAnsi="Arial" w:eastAsia="宋体" w:cs="Arial"/>
      <w:b/>
      <w:bCs/>
      <w:sz w:val="32"/>
      <w:szCs w:val="32"/>
      <w:lang w:val="en-US" w:eastAsia="zh-CN" w:bidi="ar-SA"/>
    </w:rPr>
  </w:style>
  <w:style w:type="paragraph" w:styleId="11">
    <w:name w:val="List Paragraph"/>
    <w:basedOn w:val="1"/>
    <w:qFormat/>
    <w:uiPriority w:val="0"/>
    <w:pPr>
      <w:spacing w:before="149"/>
      <w:ind w:left="1066" w:hanging="319"/>
    </w:pPr>
    <w:rPr>
      <w:rFonts w:ascii="宋体" w:hAnsi="宋体" w:eastAsia="宋体" w:cs="宋体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1"/>
        </a:gradFill>
      </a:fillStyleLst>
      <a:lnStyleLst>
        <a:ln w="9525" cap="flat" cmpd="sng">
          <a:solidFill>
            <a:schemeClr val="phClr">
              <a:shade val="95000"/>
              <a:satMod val="105000"/>
            </a:schemeClr>
          </a:solidFill>
          <a:prstDash val="solid"/>
          <a:round/>
        </a:ln>
        <a:ln w="25400" cap="flat" cmpd="sng">
          <a:solidFill>
            <a:schemeClr val="phClr"/>
          </a:solidFill>
          <a:prstDash val="solid"/>
          <a:round/>
        </a:ln>
        <a:ln w="38100" cap="flat" cmpd="sng">
          <a:solidFill>
            <a:schemeClr val="phClr"/>
          </a:solidFill>
          <a:prstDash val="solid"/>
          <a:round/>
        </a:ln>
      </a:lnStyleLst>
      <a:effectStyleLst>
        <a:effectStyle>
          <a:effectLst>
            <a:outerShdw blurRad="40000" dist="20000" dir="5400000" rotWithShape="0">
              <a:srgbClr val="000000">
                <a:alpha val="37647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4509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4509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100000" t="100000"/>
          </a:path>
          <a:tileRect r="-100000" b="-100000"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4</Pages>
  <Words>1466</Words>
  <Characters>1532</Characters>
  <Lines>0</Lines>
  <Paragraphs>35</Paragraphs>
  <TotalTime>1</TotalTime>
  <ScaleCrop>false</ScaleCrop>
  <LinksUpToDate>false</LinksUpToDate>
  <CharactersWithSpaces>1567</CharactersWithSpaces>
  <Application>WPS Office_11.1.0.11664_F1E327BC-269C-435d-A152-05C5408002CA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2024-12-03T01:01:00Z</dcterms:created>
  <dc:creator>Administrator</dc:creator>
  <cp:lastModifiedBy>张镝</cp:lastModifiedBy>
  <cp:lastPrinted>2024-12-24T00:15:00Z</cp:lastPrinted>
  <dcterms:modified xsi:type="dcterms:W3CDTF">2025-02-06T16:12:45Z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2052-11.1.0.11664</vt:lpwstr>
  </property>
  <property fmtid="{D5CDD505-2E9C-101B-9397-08002B2CF9AE}" pid="3" name="ICV">
    <vt:lpwstr>1ABCAE642CDB4FE1A5DC7C4CC04A9CB2_13</vt:lpwstr>
  </property>
  <property fmtid="{D5CDD505-2E9C-101B-9397-08002B2CF9AE}" pid="4" name="KSOTemplateDocerSaveRecord">
    <vt:lpwstr>eyJoZGlkIjoiMDgxNmM1ZGEwYzlkYzU1NThiYTI2MDdhMTVlN2FhMGYiLCJ1c2VySWQiOiIzMzc1NDc3NjUifQ==</vt:lpwstr>
  </property>
</Properties>
</file>