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CF25C">
      <w:pPr>
        <w:spacing w:line="56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 w14:paraId="45E9ABF1">
      <w:pPr>
        <w:spacing w:line="56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长春新区支持数字经济产业</w:t>
      </w:r>
    </w:p>
    <w:p w14:paraId="4432025C">
      <w:pPr>
        <w:spacing w:line="56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高质量发展</w:t>
      </w:r>
      <w:r>
        <w:rPr>
          <w:rFonts w:hint="eastAsia" w:ascii="Times New Roman" w:hAnsi="Times New Roman" w:eastAsia="方正小标宋_GBK"/>
          <w:sz w:val="44"/>
          <w:szCs w:val="44"/>
        </w:rPr>
        <w:t>若干措施</w:t>
      </w:r>
    </w:p>
    <w:p w14:paraId="4C74BF7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</w:pPr>
    </w:p>
    <w:p w14:paraId="5B8DAD0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  <w:t>为大力培育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数字经济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  <w:t>产业，</w:t>
      </w:r>
      <w:r>
        <w:rPr>
          <w:rFonts w:hint="eastAsia" w:ascii="Times New Roman" w:hAnsi="Times New Roman" w:eastAsia="方正仿宋_GBK" w:cs="方正仿宋_GBK"/>
          <w:szCs w:val="32"/>
        </w:rPr>
        <w:t>加快推动数字技术创新突破，促进新区数字技术和实体经济深度融合，营造良好产业生态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，在《长春新区推动经济持续向好若干措施》基础上，出台《长春新区支持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数字经济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产业高质量发展若干措施》，形成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“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1+1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”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政策支持体系</w:t>
      </w:r>
      <w:r>
        <w:rPr>
          <w:rFonts w:ascii="Times New Roman" w:hAnsi="Times New Roman" w:eastAsia="方正仿宋_GBK" w:cs="Times New Roman"/>
          <w:spacing w:val="1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重点支持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领域包括：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人工智能、元宇宙、数字动漫、文化创意、卫星数据应用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等方面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。</w:t>
      </w:r>
    </w:p>
    <w:p w14:paraId="777260E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一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支持人工智能领域关键技术攻关。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  <w:t>鼓励人工智能企业加大研发投入，重点支持企业攻关自然语言处理、计算机视觉、语音识别、知识图谱、决策智能等领域关键技术，对上年度前述关键技术内部研发投入强度达20%以上且年度研发投入1500万元(含)以上的企业，按照企业年度研发投入的10%，给予单个企业每年最高200万元的补助。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责任部门：财政局、科技局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  <w:t>）</w:t>
      </w:r>
    </w:p>
    <w:p w14:paraId="4A872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 w:cs="方正仿宋_GBK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二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加快大数据、人工智能企业集聚。</w:t>
      </w:r>
      <w:r>
        <w:rPr>
          <w:rFonts w:hint="eastAsia" w:ascii="Times New Roman" w:hAnsi="Times New Roman" w:eastAsia="方正仿宋_GBK" w:cs="方正仿宋_GBK"/>
          <w:szCs w:val="32"/>
        </w:rPr>
        <w:t>支持人工智能大数据产业园区（智算中心）、长春新区数字经济产业基地项目建设和企业集聚，对当年度实缴注册资本金占注册资本金60%（含）以上或累计全额实缴注册资本金的数字经济企业，最高按企业实缴注册资本金的10%给予奖励，最高不超过100万元，每家企业只能享受一次本项奖励。</w:t>
      </w:r>
      <w:r>
        <w:rPr>
          <w:rFonts w:hint="eastAsia" w:ascii="Times New Roman" w:hAnsi="Times New Roman" w:eastAsia="方正仿宋_GBK" w:cs="方正仿宋_GBK"/>
          <w:szCs w:val="32"/>
          <w:lang w:eastAsia="zh-CN"/>
        </w:rPr>
        <w:t>（</w:t>
      </w:r>
      <w:bookmarkStart w:id="4" w:name="_GoBack"/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责任部门：财政局、市场监督局</w:t>
      </w:r>
      <w:bookmarkEnd w:id="4"/>
      <w:r>
        <w:rPr>
          <w:rFonts w:hint="eastAsia" w:ascii="Times New Roman" w:hAnsi="Times New Roman" w:eastAsia="方正仿宋_GBK" w:cs="方正仿宋_GBK"/>
          <w:szCs w:val="32"/>
          <w:lang w:eastAsia="zh-CN"/>
        </w:rPr>
        <w:t>）</w:t>
      </w:r>
    </w:p>
    <w:p w14:paraId="22121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 w:cs="方正仿宋_GBK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三、壮大人工智能产业。</w:t>
      </w:r>
      <w:r>
        <w:rPr>
          <w:rFonts w:hint="eastAsia" w:ascii="Times New Roman" w:hAnsi="Times New Roman" w:eastAsia="方正仿宋_GBK" w:cs="方正仿宋_GBK"/>
          <w:szCs w:val="32"/>
        </w:rPr>
        <w:t>支持发展人工智能芯片、智能传感器、智能机器人、智能可穿戴设备、虚拟现实设备等人工智能产品，鼓励开发计算机视觉软件、智能语音处理软件、自然语言理解软件、生物特征识别软件、虚拟现实/增强现实软件等人工智能软件，对从事以上业务的企业当年度主营业务收入首次达到1000万元（含）的，给予30万元一次性奖励。每家企业只能享受一次本项奖励。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责任部门：财政局、工信局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7948EDC7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四、加强元宇宙产业研发能力。</w:t>
      </w:r>
      <w:r>
        <w:rPr>
          <w:rFonts w:hint="eastAsia" w:ascii="Times New Roman" w:hAnsi="Times New Roman" w:eastAsia="方正仿宋_GBK" w:cs="方正仿宋_GBK"/>
          <w:szCs w:val="32"/>
        </w:rPr>
        <w:t>支持企业开展数字孪生、人机交互、增强现实/虚拟现实/混合现实(AR/VR/MR)等核心底层技术研发，对从事XR头显、裸眼3D显示屏等硬件设备研发和三维数字空间、虚拟数字人在城市管理、民生服务等领域的企业，最高按其当年度实际研发投入费用的30%给予奖励，单家企业每年享受本项奖励不超过100万元。</w:t>
      </w:r>
      <w:r>
        <w:rPr>
          <w:rFonts w:hint="eastAsia" w:ascii="Times New Roman" w:hAnsi="Times New Roman" w:eastAsia="方正仿宋_GBK" w:cs="方正仿宋_GBK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责任部门：财政局、科技局</w:t>
      </w:r>
    </w:p>
    <w:p w14:paraId="69B1F22A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zCs w:val="32"/>
          <w:lang w:eastAsia="zh-CN"/>
        </w:rPr>
        <w:t>）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五、支持动漫产业园建设。</w:t>
      </w:r>
      <w:r>
        <w:rPr>
          <w:rFonts w:hint="eastAsia" w:ascii="Times New Roman" w:hAnsi="Times New Roman" w:eastAsia="方正仿宋_GBK" w:cs="方正仿宋_GBK"/>
          <w:szCs w:val="32"/>
        </w:rPr>
        <w:t>推动动漫产业集群化发展，打造动漫类科技企业孵化器，吸引国内外动漫产业领军企业、头部企业将总部或子公司落位。对产业园给予孵化器三年孵化和招引培育期，对引进动漫企业数量达到20家、40家和60家，分别给予</w:t>
      </w:r>
      <w:r>
        <w:rPr>
          <w:rFonts w:ascii="Times New Roman" w:hAnsi="Times New Roman" w:eastAsia="方正仿宋_GBK" w:cs="方正仿宋_GBK"/>
          <w:szCs w:val="32"/>
        </w:rPr>
        <w:t>5</w:t>
      </w:r>
      <w:r>
        <w:rPr>
          <w:rFonts w:hint="eastAsia" w:ascii="Times New Roman" w:hAnsi="Times New Roman" w:eastAsia="方正仿宋_GBK" w:cs="方正仿宋_GBK"/>
          <w:szCs w:val="32"/>
        </w:rPr>
        <w:t>0万</w:t>
      </w:r>
      <w:r>
        <w:rPr>
          <w:rFonts w:ascii="Times New Roman" w:hAnsi="Times New Roman" w:eastAsia="方正仿宋_GBK" w:cs="方正仿宋_GBK"/>
          <w:szCs w:val="32"/>
        </w:rPr>
        <w:t>元</w:t>
      </w:r>
      <w:r>
        <w:rPr>
          <w:rFonts w:hint="eastAsia" w:ascii="Times New Roman" w:hAnsi="Times New Roman" w:eastAsia="方正仿宋_GBK" w:cs="方正仿宋_GBK"/>
          <w:szCs w:val="32"/>
        </w:rPr>
        <w:t>、</w:t>
      </w:r>
      <w:r>
        <w:rPr>
          <w:rFonts w:ascii="Times New Roman" w:hAnsi="Times New Roman" w:eastAsia="方正仿宋_GBK" w:cs="方正仿宋_GBK"/>
          <w:szCs w:val="32"/>
        </w:rPr>
        <w:t>1</w:t>
      </w:r>
      <w:r>
        <w:rPr>
          <w:rFonts w:hint="eastAsia" w:ascii="Times New Roman" w:hAnsi="Times New Roman" w:eastAsia="方正仿宋_GBK" w:cs="方正仿宋_GBK"/>
          <w:szCs w:val="32"/>
        </w:rPr>
        <w:t>00万和</w:t>
      </w:r>
      <w:r>
        <w:rPr>
          <w:rFonts w:ascii="Times New Roman" w:hAnsi="Times New Roman" w:eastAsia="方正仿宋_GBK" w:cs="方正仿宋_GBK"/>
          <w:szCs w:val="32"/>
        </w:rPr>
        <w:t>3</w:t>
      </w:r>
      <w:r>
        <w:rPr>
          <w:rFonts w:hint="eastAsia" w:ascii="Times New Roman" w:hAnsi="Times New Roman" w:eastAsia="方正仿宋_GBK" w:cs="方正仿宋_GBK"/>
          <w:szCs w:val="32"/>
        </w:rPr>
        <w:t>00万元奖励。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责任部门：财政局、科技局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7678A52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六、支持文创产业新赛道培育发展。</w:t>
      </w:r>
      <w:r>
        <w:rPr>
          <w:rFonts w:ascii="Times New Roman" w:hAnsi="Times New Roman" w:eastAsia="方正仿宋_GBK" w:cs="方正仿宋_GBK"/>
          <w:szCs w:val="32"/>
        </w:rPr>
        <w:t>鼓励文创企业开展数字化转型升级，支持文创企业在元宇宙、数字艺术品、VR/AR/MR、5G、AI、4K/8K等新领域、新赛道中实施技术应用、场景搭建、内容开发、平台构建、产业融合等项目，经评审，可给予单个项目不超过投资额40%，最高不超过200万元的资助。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责任部门：财政局、科技局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61D42F90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七、加快卫星数据基础设施建设。</w:t>
      </w:r>
      <w:r>
        <w:rPr>
          <w:rFonts w:hint="eastAsia" w:ascii="Times New Roman" w:hAnsi="Times New Roman" w:eastAsia="方正仿宋_GBK" w:cs="方正仿宋_GBK"/>
          <w:szCs w:val="32"/>
        </w:rPr>
        <w:t>聚焦卫星赋能生产、生活、生态和城市治理，加快推动建设数据汇聚整合、星地协同应用的卫星数据中心。鼓励企业、高校、科研院所联合中国陆地观测卫星数据中心、国土卫星遥感应用中心、国家卫星气象中心、中国资源卫星应用中心、国家北斗导航位置服务数据中心等通信、导航、遥感领域国家级卫星中心，建设汇集国家卫星数据资源的卫星大数据库、卫星数据服务中心等数据服务平台，打造国有卫星数据资源统一的市场化服务端口。支持企业自建数据服务平台并对外服务，按照投资额的20%给予最高</w:t>
      </w:r>
      <w:r>
        <w:rPr>
          <w:rFonts w:ascii="Times New Roman" w:hAnsi="Times New Roman" w:eastAsia="方正仿宋_GBK" w:cs="方正仿宋_GBK"/>
          <w:szCs w:val="32"/>
        </w:rPr>
        <w:t>2</w:t>
      </w:r>
      <w:r>
        <w:rPr>
          <w:rFonts w:hint="eastAsia" w:ascii="Times New Roman" w:hAnsi="Times New Roman" w:eastAsia="方正仿宋_GBK" w:cs="方正仿宋_GBK"/>
          <w:szCs w:val="32"/>
        </w:rPr>
        <w:t>00万元补助。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责任部门：财政局、工信局、规自局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63625CAB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</w:pPr>
      <w:bookmarkStart w:id="0" w:name="OLE_LINK1"/>
      <w:bookmarkStart w:id="1" w:name="OLE_LINK2"/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八、支持发展卫星数据应用产业。</w:t>
      </w:r>
      <w:r>
        <w:rPr>
          <w:rFonts w:ascii="Times New Roman" w:hAnsi="Times New Roman" w:eastAsia="方正仿宋_GBK" w:cs="方正仿宋_GBK"/>
          <w:szCs w:val="32"/>
        </w:rPr>
        <w:t>鼓励企业围绕卫星数据接收、处理以及开发公共服务平台等卫星数据应用产业链开展建设，支持项目并形成实际投资和应用的企业，给予一次性不超过项目总投资30%比例进</w:t>
      </w:r>
      <w:r>
        <w:rPr>
          <w:rFonts w:hint="eastAsia" w:ascii="Times New Roman" w:hAnsi="Times New Roman" w:eastAsia="方正仿宋_GBK" w:cs="方正仿宋_GBK"/>
          <w:szCs w:val="32"/>
        </w:rPr>
        <w:t>最高</w:t>
      </w:r>
      <w:r>
        <w:rPr>
          <w:rFonts w:ascii="Times New Roman" w:hAnsi="Times New Roman" w:eastAsia="方正仿宋_GBK" w:cs="方正仿宋_GBK"/>
          <w:szCs w:val="32"/>
        </w:rPr>
        <w:t>2</w:t>
      </w:r>
      <w:r>
        <w:rPr>
          <w:rFonts w:hint="eastAsia" w:ascii="Times New Roman" w:hAnsi="Times New Roman" w:eastAsia="方正仿宋_GBK" w:cs="方正仿宋_GBK"/>
          <w:szCs w:val="32"/>
        </w:rPr>
        <w:t>00万元补助。</w:t>
      </w:r>
      <w:bookmarkEnd w:id="0"/>
      <w:bookmarkEnd w:id="1"/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责任部门：财政局、工信局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0FE2837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 w:cs="方正仿宋_GBK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九</w:t>
      </w:r>
      <w:bookmarkStart w:id="2" w:name="OLE_LINK4"/>
      <w:bookmarkStart w:id="3" w:name="OLE_LINK3"/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-SA"/>
        </w:rPr>
        <w:t>、实施“卫星赋能城市”行动。</w:t>
      </w:r>
      <w:r>
        <w:rPr>
          <w:rFonts w:hint="eastAsia" w:ascii="Times New Roman" w:hAnsi="Times New Roman" w:eastAsia="方正仿宋_GBK" w:cs="方正仿宋_GBK"/>
          <w:szCs w:val="32"/>
        </w:rPr>
        <w:t>根据企业创新带动能力、经济效益、社会效益、示范引领作用等指标，每年遴选不超过10个卫星数据应用示范项目，给予单个项目、单户企业最高100万元的一次性奖励。</w:t>
      </w:r>
      <w:bookmarkEnd w:id="2"/>
      <w:bookmarkEnd w:id="3"/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责任部门：财政局、工信局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1B4AB663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val="en-US" w:eastAsia="zh-CN"/>
        </w:rPr>
        <w:t>鼓励拓展上下游市场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eastAsia="zh-CN"/>
        </w:rPr>
        <w:t>。</w:t>
      </w:r>
      <w:r>
        <w:rPr>
          <w:rFonts w:hint="eastAsia" w:ascii="Times New Roman" w:hAnsi="Times New Roman" w:eastAsia="方正仿宋_GBK"/>
          <w:szCs w:val="32"/>
        </w:rPr>
        <w:t>鼓励区内人工智能、数字医疗、卫星互联网等领域龙头企业，通过“任务众包、研发协作、开放空间载体”等方式，带领中小微企业开拓下游市场。对带动区内中小微企业开放场景的龙头企业，给予最高100万元的一次性奖励。对承接龙头企业产品和技术服务项目的企业，按照实际交易额的5%，给予中小微企业最高不超过100万元的资金扶持。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责任部门：财政局、科技局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0E55C3C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val="en-US" w:eastAsia="zh-CN"/>
        </w:rPr>
        <w:t>一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</w:rPr>
        <w:t>算力资源支持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lang w:eastAsia="zh-CN"/>
        </w:rPr>
        <w:t>。</w:t>
      </w:r>
      <w:r>
        <w:rPr>
          <w:rFonts w:hint="eastAsia" w:ascii="Times New Roman" w:hAnsi="Times New Roman" w:eastAsia="方正仿宋_GBK"/>
          <w:szCs w:val="32"/>
        </w:rPr>
        <w:t>依托人工智能大数据产业园区（智算中心）为有算</w:t>
      </w:r>
      <w:r>
        <w:rPr>
          <w:rFonts w:hint="eastAsia" w:ascii="Times New Roman" w:hAnsi="Times New Roman" w:eastAsia="方正仿宋_GBK" w:cs="方正仿宋_GBK"/>
          <w:szCs w:val="32"/>
        </w:rPr>
        <w:t>力、工具、算法应用及生态合作等需求的企业免费</w:t>
      </w:r>
      <w:r>
        <w:rPr>
          <w:rFonts w:hint="eastAsia" w:ascii="Times New Roman" w:hAnsi="Times New Roman" w:eastAsia="方正仿宋_GBK"/>
          <w:szCs w:val="32"/>
        </w:rPr>
        <w:t>提供额度为3000万元的商业算力资源支持。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责任部门：政数局、数字办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）</w:t>
      </w:r>
    </w:p>
    <w:p w14:paraId="248BD80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黑体_GBK" w:cs="方正黑体_GBK"/>
          <w:color w:val="000000"/>
          <w:szCs w:val="32"/>
          <w:shd w:val="clear" w:color="auto" w:fill="FFFFFF"/>
        </w:rPr>
      </w:pPr>
    </w:p>
    <w:p w14:paraId="1C76E19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以上措施自印发之日起试行，由相关责任部门负责制定具体实施细则，有效期至2026年12月31日，有明确期限的具体政策按其时限执行，国家、省市另有规定的从其规定。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_GBK小标宋">
    <w:altName w:val="方正小标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61118"/>
    <w:rsid w:val="66C54EE0"/>
    <w:rsid w:val="7DA10074"/>
    <w:rsid w:val="FCFD88F7"/>
    <w:rsid w:val="FFDF9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60" w:lineRule="exact"/>
      <w:outlineLvl w:val="0"/>
    </w:pPr>
    <w:rPr>
      <w:rFonts w:eastAsia="方正_GBK小标宋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360" w:lineRule="auto"/>
      <w:outlineLvl w:val="1"/>
    </w:pPr>
    <w:rPr>
      <w:rFonts w:ascii="Calibri Light" w:hAnsi="Calibri Light" w:eastAsia="方正黑体_GBK"/>
      <w:bCs/>
      <w:kern w:val="0"/>
      <w:szCs w:val="32"/>
    </w:rPr>
  </w:style>
  <w:style w:type="paragraph" w:styleId="4">
    <w:name w:val="heading 3"/>
    <w:basedOn w:val="1"/>
    <w:next w:val="1"/>
    <w:link w:val="17"/>
    <w:qFormat/>
    <w:uiPriority w:val="0"/>
    <w:pPr>
      <w:keepNext/>
      <w:keepLines/>
      <w:spacing w:line="560" w:lineRule="exact"/>
      <w:outlineLvl w:val="2"/>
    </w:pPr>
    <w:rPr>
      <w:rFonts w:eastAsia="方正楷体_GBK"/>
      <w:b/>
    </w:rPr>
  </w:style>
  <w:style w:type="paragraph" w:styleId="5">
    <w:name w:val="heading 4"/>
    <w:basedOn w:val="1"/>
    <w:next w:val="1"/>
    <w:link w:val="18"/>
    <w:qFormat/>
    <w:uiPriority w:val="0"/>
    <w:pPr>
      <w:keepNext/>
      <w:keepLines/>
      <w:spacing w:line="560" w:lineRule="exact"/>
      <w:outlineLvl w:val="3"/>
    </w:pPr>
    <w:rPr>
      <w:rFonts w:ascii="Arial" w:hAnsi="Arial" w:eastAsia="方正仿宋_GBK"/>
      <w:b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7"/>
    <w:qFormat/>
    <w:uiPriority w:val="0"/>
    <w:pPr>
      <w:ind w:firstLine="200" w:firstLineChars="200"/>
    </w:pPr>
  </w:style>
  <w:style w:type="paragraph" w:styleId="7">
    <w:name w:val="toc 2"/>
    <w:basedOn w:val="1"/>
    <w:next w:val="1"/>
    <w:qFormat/>
    <w:uiPriority w:val="0"/>
    <w:pPr>
      <w:ind w:left="200" w:leftChars="200"/>
    </w:pPr>
  </w:style>
  <w:style w:type="paragraph" w:styleId="8">
    <w:name w:val="Body Text"/>
    <w:basedOn w:val="1"/>
    <w:qFormat/>
    <w:uiPriority w:val="0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0"/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heading 1 Char"/>
    <w:basedOn w:val="13"/>
    <w:link w:val="2"/>
    <w:qFormat/>
    <w:uiPriority w:val="0"/>
    <w:rPr>
      <w:rFonts w:ascii="Calibri" w:hAnsi="Calibri" w:eastAsia="方正_GBK小标宋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16">
    <w:name w:val="heading 2 Char"/>
    <w:basedOn w:val="13"/>
    <w:link w:val="3"/>
    <w:qFormat/>
    <w:uiPriority w:val="0"/>
    <w:rPr>
      <w:rFonts w:ascii="Calibri Light" w:hAnsi="Calibri Light" w:eastAsia="方正黑体_GBK" w:cs="Times New Roman"/>
      <w:bCs/>
      <w:kern w:val="0"/>
      <w:sz w:val="32"/>
      <w:szCs w:val="32"/>
      <w:lang w:val="en-US" w:eastAsia="zh-CN" w:bidi="ar-SA"/>
    </w:rPr>
  </w:style>
  <w:style w:type="character" w:customStyle="1" w:styleId="17">
    <w:name w:val="heading 3 Char"/>
    <w:basedOn w:val="13"/>
    <w:link w:val="4"/>
    <w:qFormat/>
    <w:uiPriority w:val="0"/>
    <w:rPr>
      <w:rFonts w:ascii="Calibri" w:hAnsi="Calibri" w:eastAsia="方正楷体_GBK" w:cs="Times New Roman"/>
      <w:b/>
      <w:kern w:val="2"/>
      <w:sz w:val="32"/>
      <w:szCs w:val="24"/>
      <w:lang w:val="en-US" w:eastAsia="zh-CN" w:bidi="ar-SA"/>
    </w:rPr>
  </w:style>
  <w:style w:type="character" w:customStyle="1" w:styleId="18">
    <w:name w:val="heading 4 Char"/>
    <w:basedOn w:val="13"/>
    <w:link w:val="5"/>
    <w:qFormat/>
    <w:uiPriority w:val="0"/>
    <w:rPr>
      <w:rFonts w:ascii="Arial" w:hAnsi="Arial" w:eastAsia="方正仿宋_GBK" w:cs="Times New Roman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1"/>
        </a:gradFill>
        <a:gradFill rotWithShape="1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1"/>
        </a:gradFill>
      </a:fillStyleLst>
      <a:lnStyleLst>
        <a:ln w="1270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2700" cap="flat" cmpd="sng">
          <a:gradFill rotWithShape="1"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4</Pages>
  <Words>1888</Words>
  <Characters>1971</Characters>
  <Lines>0</Lines>
  <Paragraphs>17</Paragraphs>
  <TotalTime>1</TotalTime>
  <ScaleCrop>false</ScaleCrop>
  <LinksUpToDate>false</LinksUpToDate>
  <CharactersWithSpaces>1971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2025-01-06T17:22:00Z</dcterms:created>
  <dc:creator>Administrator</dc:creator>
  <cp:lastModifiedBy>牙满</cp:lastModifiedBy>
  <dcterms:modified xsi:type="dcterms:W3CDTF">2025-02-06T03:05:15Z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770A2D902E474190908988B6237F235F_13</vt:lpwstr>
  </property>
  <property fmtid="{D5CDD505-2E9C-101B-9397-08002B2CF9AE}" pid="4" name="KSOTemplateDocerSaveRecord">
    <vt:lpwstr>eyJoZGlkIjoiMDgxNmM1ZGEwYzlkYzU1NThiYTI2MDdhMTVlN2FhMGYiLCJ1c2VySWQiOiIzMzc1NDc3NjUifQ==</vt:lpwstr>
  </property>
</Properties>
</file>