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kinsoku w:val="0"/>
        <w:autoSpaceDE w:val="0"/>
        <w:autoSpaceDN w:val="0"/>
        <w:adjustRightInd w:val="0"/>
        <w:spacing w:before="0" w:after="41" w:line="240" w:lineRule="auto"/>
        <w:ind w:right="0"/>
        <w:jc w:val="center"/>
        <w:textAlignment w:val="baseline"/>
        <w:rPr>
          <w:rFonts w:hint="eastAsia" w:ascii="方正小标宋_GBK" w:hAnsi="方正小标宋_GBK" w:eastAsia="方正小标宋_GBK" w:cs="方正小标宋_GBK"/>
          <w:spacing w:val="-2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pacing w:val="-2"/>
          <w:sz w:val="44"/>
          <w:szCs w:val="44"/>
          <w:lang w:eastAsia="zh-CN"/>
        </w:rPr>
        <w:t>长春新区支持低空经济产业</w:t>
      </w:r>
    </w:p>
    <w:p>
      <w:pPr>
        <w:widowControl w:val="0"/>
        <w:kinsoku w:val="0"/>
        <w:autoSpaceDE w:val="0"/>
        <w:autoSpaceDN w:val="0"/>
        <w:adjustRightInd w:val="0"/>
        <w:spacing w:before="0" w:after="41" w:line="240" w:lineRule="auto"/>
        <w:ind w:right="0"/>
        <w:jc w:val="center"/>
        <w:textAlignment w:val="baseline"/>
        <w:rPr>
          <w:rFonts w:hint="eastAsia" w:ascii="方正小标宋_GBK" w:hAnsi="方正小标宋_GBK" w:eastAsia="方正小标宋_GBK" w:cs="方正小标宋_GBK"/>
          <w:spacing w:val="-2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pacing w:val="-2"/>
          <w:sz w:val="44"/>
          <w:szCs w:val="44"/>
          <w:lang w:eastAsia="zh-CN"/>
        </w:rPr>
        <w:t>高质量发展若干措施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108" w:right="255" w:firstLine="641"/>
        <w:jc w:val="both"/>
        <w:textAlignment w:val="auto"/>
        <w:rPr>
          <w:rFonts w:ascii="Times New Roman" w:hAnsi="Times New Roman" w:eastAsia="方正仿宋_GBK" w:cs="Times New Roman"/>
          <w:sz w:val="32"/>
          <w:szCs w:val="32"/>
          <w:shd w:val="clear" w:color="auto" w:fill="auto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adjustRightInd/>
        <w:snapToGrid/>
        <w:spacing w:line="560" w:lineRule="exact"/>
        <w:ind w:left="108" w:right="255" w:firstLine="641"/>
        <w:rPr>
          <w:rFonts w:ascii="Times New Roman" w:hAnsi="Times New Roman" w:eastAsia="方正仿宋_GBK" w:cs="Times New Roman"/>
          <w:shd w:val="clear" w:color="auto" w:fill="auto"/>
        </w:rPr>
      </w:pP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</w:rPr>
        <w:t>为深入贯彻落实国家、省、市关于低空经济发展的有关部署，抢抓低空经济产业新赛道先机，大力培育低空经济，</w:t>
      </w:r>
      <w:r>
        <w:rPr>
          <w:rFonts w:ascii="Times New Roman" w:hAnsi="Times New Roman" w:eastAsia="方正仿宋_GBK" w:cs="Times New Roman"/>
          <w:spacing w:val="-6"/>
          <w:sz w:val="32"/>
          <w:szCs w:val="32"/>
          <w:shd w:val="clear" w:color="auto" w:fill="auto"/>
        </w:rPr>
        <w:t>在《长春新区推动经济持续向好若干措施》基础上，出台《长春新区支持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shd w:val="clear" w:color="auto" w:fill="auto"/>
          <w:lang w:eastAsia="zh-CN"/>
        </w:rPr>
        <w:t>低空经济</w:t>
      </w:r>
      <w:r>
        <w:rPr>
          <w:rFonts w:ascii="Times New Roman" w:hAnsi="Times New Roman" w:eastAsia="方正仿宋_GBK" w:cs="Times New Roman"/>
          <w:spacing w:val="-6"/>
          <w:sz w:val="32"/>
          <w:szCs w:val="32"/>
          <w:shd w:val="clear" w:color="auto" w:fill="auto"/>
        </w:rPr>
        <w:t>产业高质量发展若干措施》，形成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shd w:val="clear" w:color="auto" w:fill="auto"/>
        </w:rPr>
        <w:t>“</w:t>
      </w:r>
      <w:r>
        <w:rPr>
          <w:rFonts w:ascii="Times New Roman" w:hAnsi="Times New Roman" w:eastAsia="方正仿宋_GBK" w:cs="Times New Roman"/>
          <w:spacing w:val="-6"/>
          <w:sz w:val="32"/>
          <w:szCs w:val="32"/>
          <w:shd w:val="clear" w:color="auto" w:fill="auto"/>
        </w:rPr>
        <w:t>1+1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shd w:val="clear" w:color="auto" w:fill="auto"/>
        </w:rPr>
        <w:t>”</w:t>
      </w:r>
      <w:r>
        <w:rPr>
          <w:rFonts w:ascii="Times New Roman" w:hAnsi="Times New Roman" w:eastAsia="方正仿宋_GBK" w:cs="Times New Roman"/>
          <w:spacing w:val="-6"/>
          <w:sz w:val="32"/>
          <w:szCs w:val="32"/>
          <w:shd w:val="clear" w:color="auto" w:fill="auto"/>
        </w:rPr>
        <w:t>政策支持体系</w:t>
      </w:r>
      <w:r>
        <w:rPr>
          <w:rFonts w:ascii="Times New Roman" w:hAnsi="Times New Roman" w:eastAsia="方正仿宋_GBK" w:cs="Times New Roman"/>
          <w:spacing w:val="1"/>
          <w:sz w:val="32"/>
          <w:szCs w:val="32"/>
          <w:shd w:val="clear" w:color="auto" w:fill="auto"/>
          <w:lang w:eastAsia="zh-CN"/>
        </w:rPr>
        <w:t>。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重点支持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领域包括：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</w:rPr>
        <w:t>从事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低空经济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</w:rPr>
        <w:t>相关领域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</w:rPr>
        <w:t>研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</w:rPr>
        <w:t>发、生产、服务等生产经营活动，具有独立法人资格的企事业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</w:rPr>
        <w:t>单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</w:rPr>
        <w:t>位、社会团体、行业组织，以及符合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长春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</w:rPr>
        <w:t>新区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低空经济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</w:rPr>
        <w:t>产业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链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</w:rPr>
        <w:t>发展或提供支撑的其他对象。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adjustRightInd/>
        <w:snapToGrid/>
        <w:spacing w:line="560" w:lineRule="exact"/>
        <w:ind w:left="106" w:right="100" w:firstLine="640"/>
        <w:rPr>
          <w:rFonts w:ascii="Times New Roman" w:hAnsi="Times New Roman" w:eastAsia="方正仿宋_GBK" w:cs="Times New Roman"/>
          <w:sz w:val="32"/>
          <w:szCs w:val="32"/>
          <w:shd w:val="clear" w:color="auto" w:fill="auto"/>
        </w:rPr>
      </w:pPr>
      <w:r>
        <w:rPr>
          <w:rFonts w:hint="eastAsia" w:ascii="方正黑体_GBK" w:hAnsi="方正黑体_GBK" w:eastAsia="方正黑体_GBK" w:cs="方正黑体_GBK"/>
          <w:spacing w:val="18"/>
          <w:sz w:val="32"/>
          <w:szCs w:val="32"/>
          <w:lang w:val="en-US" w:eastAsia="zh-CN" w:bidi="ar-SA"/>
        </w:rPr>
        <w:t>一、支持企业加大高端装备推广。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</w:rPr>
        <w:t>聚焦电动垂直起降飞行器 (eVIOL)、飞行汽车、无人驾驶航空器、新能源通用航空 器整机研制领域，低空经济领域核心系统、关键部件、先进 材料、地面设备研制领域，低空领域核心技术的通信网络、 软件算法以及综合服务领域，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支持低空经济企业实现重大技术装备或核心部件首台(套)突破，对经认定的首台(套)装备及关键零部件，按照产品单台(套)价格、年销量、研发投入等因素综合评定分档给予每个企业最高 50万元支持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，给予研发成果转化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建设方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 xml:space="preserve">最高不超过 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2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00万元的奖励。</w:t>
      </w:r>
      <w:r>
        <w:rPr>
          <w:rFonts w:hint="eastAsia" w:ascii="方正楷体_GBK" w:hAnsi="方正楷体_GBK" w:eastAsia="方正楷体_GBK" w:cs="方正楷体_GBK"/>
          <w:spacing w:val="-6"/>
          <w:sz w:val="32"/>
          <w:szCs w:val="32"/>
          <w:shd w:val="clear" w:color="auto" w:fill="auto"/>
          <w:lang w:eastAsia="zh-CN"/>
        </w:rPr>
        <w:t>（责任部门：光电办、北湖投促局、工信局、财政局）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adjustRightInd/>
        <w:snapToGrid/>
        <w:spacing w:line="560" w:lineRule="exact"/>
        <w:ind w:left="106" w:right="100" w:firstLine="640"/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spacing w:val="18"/>
          <w:sz w:val="32"/>
          <w:szCs w:val="32"/>
          <w:lang w:val="en-US" w:eastAsia="zh-CN" w:bidi="ar-SA"/>
        </w:rPr>
        <w:t>二、支持企业建设创新服务平台。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支持企业、科研机构、行业协会等主体开展低空仿真验证、检验检测、试验试飞、适航审定服务、标准研制、先进技术研究院等公共服务平台建设， 经认定，按照不超过其建设投入的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1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0%给予最高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1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00万元建设补贴。鼓励平台对外提供共享服务，根据平台服务绩效， 给予每年最高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5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0万元运营补贴，一般不超过三年。</w:t>
      </w:r>
      <w:r>
        <w:rPr>
          <w:rFonts w:hint="eastAsia" w:ascii="方正楷体_GBK" w:hAnsi="方正楷体_GBK" w:eastAsia="方正楷体_GBK" w:cs="方正楷体_GBK"/>
          <w:spacing w:val="-6"/>
          <w:sz w:val="32"/>
          <w:szCs w:val="32"/>
          <w:shd w:val="clear" w:color="auto" w:fill="auto"/>
          <w:lang w:eastAsia="zh-CN"/>
        </w:rPr>
        <w:t>（责任部门：光电办、北湖投促局、科技局、财政局）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adjustRightInd/>
        <w:snapToGrid/>
        <w:spacing w:line="560" w:lineRule="exact"/>
        <w:ind w:left="106" w:right="100" w:firstLine="640"/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spacing w:val="18"/>
          <w:sz w:val="32"/>
          <w:szCs w:val="32"/>
          <w:lang w:val="en-US" w:eastAsia="zh-CN" w:bidi="ar-SA"/>
        </w:rPr>
        <w:t>三、支持企业制定修订低空标准。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鼓励企业主导和参与制  定低空经济相关领域的国际标准、国家标准、行业标准和地  方标准，经认定，对主导制定修订的，分别对应给予最高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5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0  万元、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3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0万元、20万元、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1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0万元资助，对参与制定修订的， 分别对应给予最高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20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万元、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15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万元、1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0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万元、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5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万元资助。</w:t>
      </w:r>
      <w:r>
        <w:rPr>
          <w:rFonts w:hint="eastAsia" w:ascii="方正楷体_GBK" w:hAnsi="方正楷体_GBK" w:eastAsia="方正楷体_GBK" w:cs="方正楷体_GBK"/>
          <w:spacing w:val="-6"/>
          <w:sz w:val="32"/>
          <w:szCs w:val="32"/>
          <w:shd w:val="clear" w:color="auto" w:fill="auto"/>
          <w:lang w:eastAsia="zh-CN"/>
        </w:rPr>
        <w:t>（责任部门：光电办、北湖投促局、市场监督分局、工信局、科技局、财政局）</w:t>
      </w: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adjustRightInd w:val="0"/>
        <w:snapToGrid/>
        <w:spacing w:before="3" w:after="0" w:line="560" w:lineRule="exact"/>
        <w:ind w:left="0" w:right="288" w:firstLine="712" w:firstLineChars="200"/>
        <w:textAlignment w:val="baseline"/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spacing w:val="18"/>
          <w:sz w:val="32"/>
          <w:szCs w:val="32"/>
          <w:lang w:val="en-US" w:eastAsia="zh-CN" w:bidi="ar-SA"/>
        </w:rPr>
        <w:t>四、支持企业加大适航取证奖励。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对新获得中国民航局颁发的 eVTOL航空器和无人驾驶航空器型号合格证 (TC) 、 生产许 可证(PC)、 适航证(AC) 的区内低空经济企业给予奖励。其中，eVTOL航空器分别奖励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10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0万元、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1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00万元、50万元， 大型无人驾驶航空器分别奖励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5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0万元、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5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0万元、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2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0万元，中型无人驾驶航空器分别奖励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2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0万元、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2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0万元、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1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0万元。 对新获得国际同类适航证的区内低空经济企业给予同等奖励。每个企业每年不超过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3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00万元，同一型号每项认证仅奖励一次，国内、国际认证奖励可叠加享受。</w:t>
      </w:r>
      <w:r>
        <w:rPr>
          <w:rFonts w:hint="eastAsia" w:ascii="方正楷体_GBK" w:hAnsi="方正楷体_GBK" w:eastAsia="方正楷体_GBK" w:cs="方正楷体_GBK"/>
          <w:spacing w:val="-6"/>
          <w:sz w:val="32"/>
          <w:szCs w:val="32"/>
          <w:shd w:val="clear" w:color="auto" w:fill="auto"/>
          <w:lang w:eastAsia="zh-CN"/>
        </w:rPr>
        <w:t>（责任部门：光电办、北湖投促局、工信局、财政局）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106" w:right="100" w:firstLine="640"/>
        <w:jc w:val="both"/>
        <w:textAlignment w:val="auto"/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spacing w:val="18"/>
          <w:sz w:val="32"/>
          <w:szCs w:val="32"/>
        </w:rPr>
        <w:t>五、支持</w:t>
      </w:r>
      <w:r>
        <w:rPr>
          <w:rFonts w:hint="eastAsia" w:ascii="方正黑体_GBK" w:hAnsi="方正黑体_GBK" w:eastAsia="方正黑体_GBK" w:cs="方正黑体_GBK"/>
          <w:spacing w:val="18"/>
          <w:sz w:val="32"/>
          <w:szCs w:val="32"/>
          <w:lang w:val="en-US" w:eastAsia="zh-CN" w:bidi="ar-SA"/>
        </w:rPr>
        <w:t>企业扩大投资。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支持低空经济领域企业扩大有效投入，对于制造业企业扩大产能、丰富产线产品，对经认定的设备投入2000万元以上的改扩建项目、200万元以上的企业技术改造项目，按不超过项目投入的5%给予奖励，每个企业年度奖励最高不超过 100万元；对于服务业企业购买关键软件、配置重大仪器设备、建设高标准实验室，对经认定的设备投入100万元以上的项目，按不超过项目投入的10%给予奖励，每个企业年度奖励最高不超过50万元。</w:t>
      </w:r>
      <w:r>
        <w:rPr>
          <w:rFonts w:hint="eastAsia" w:ascii="方正楷体_GBK" w:hAnsi="方正楷体_GBK" w:eastAsia="方正楷体_GBK" w:cs="方正楷体_GBK"/>
          <w:spacing w:val="-6"/>
          <w:sz w:val="32"/>
          <w:szCs w:val="32"/>
          <w:shd w:val="clear" w:color="auto" w:fill="auto"/>
          <w:lang w:eastAsia="zh-CN"/>
        </w:rPr>
        <w:t>（责任部门：光电办、北湖投促局、工信局、科技局、财政局）</w:t>
      </w: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="3" w:after="0" w:line="560" w:lineRule="exact"/>
        <w:ind w:left="0" w:right="288" w:firstLine="660" w:firstLineChars="200"/>
        <w:jc w:val="both"/>
        <w:textAlignment w:val="baseline"/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spacing w:val="5"/>
          <w:sz w:val="32"/>
          <w:szCs w:val="32"/>
        </w:rPr>
        <w:t>六、支持发展低空载人服务。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对在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长春市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开通取得主管部门审批且在公开渠道售票的通航短途运输航线、eVTOL 商业运 行航线(起点或终点至少一个在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新区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内，航线距离不低于20 公里且年度执行达到一定架次)并常态化运营的低空经济企业给予奖励。每条新开通市内航线一次性奖励1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0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万元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每条城际航线一次性奖励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3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0万元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每个企业年度奖励不超过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5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0万元。</w:t>
      </w:r>
      <w:r>
        <w:rPr>
          <w:rFonts w:hint="eastAsia" w:ascii="方正楷体_GBK" w:hAnsi="方正楷体_GBK" w:eastAsia="方正楷体_GBK" w:cs="方正楷体_GBK"/>
          <w:spacing w:val="-6"/>
          <w:sz w:val="32"/>
          <w:szCs w:val="32"/>
          <w:shd w:val="clear" w:color="auto" w:fill="auto"/>
          <w:lang w:eastAsia="zh-CN"/>
        </w:rPr>
        <w:t>（责任部门：光电办、北湖投促局、工信局、财政局）</w:t>
      </w: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="3" w:after="0" w:line="560" w:lineRule="exact"/>
        <w:ind w:left="0" w:right="288" w:firstLine="640" w:firstLineChars="200"/>
        <w:jc w:val="both"/>
        <w:textAlignment w:val="baseline"/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shd w:val="clear" w:color="auto" w:fill="auto"/>
          <w:lang w:val="en-US" w:eastAsia="zh-CN" w:bidi="ar-SA"/>
        </w:rPr>
        <w:t>七、支持低空物流业发展。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对在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长春市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开通取得行业主管部门审批低空物流配送新航线(起点或终点至少一个在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新区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内，年度执行达到一定架次)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并常态化运营的低空经济企业给予奖励。轻、小型无人驾驶航空器每条新开航线给予一次性奖励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1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0万元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中、大型无人驾驶航空器每条新开航线给予一次性奖励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2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0万元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每个企业每年度奖励不超过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5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0万元。</w:t>
      </w:r>
      <w:r>
        <w:rPr>
          <w:rFonts w:hint="eastAsia" w:ascii="方正楷体_GBK" w:hAnsi="方正楷体_GBK" w:eastAsia="方正楷体_GBK" w:cs="方正楷体_GBK"/>
          <w:spacing w:val="-6"/>
          <w:sz w:val="32"/>
          <w:szCs w:val="32"/>
          <w:shd w:val="clear" w:color="auto" w:fill="auto"/>
          <w:lang w:eastAsia="zh-CN"/>
        </w:rPr>
        <w:t>（责任部门：光电办、北湖投促局、工信局、财政局）</w:t>
      </w: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="3" w:after="0" w:line="560" w:lineRule="exact"/>
        <w:ind w:left="0" w:right="288" w:firstLine="660" w:firstLineChars="200"/>
        <w:jc w:val="both"/>
        <w:textAlignment w:val="baseline"/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spacing w:val="5"/>
          <w:sz w:val="32"/>
          <w:szCs w:val="32"/>
        </w:rPr>
        <w:t>八、支持拓展低空场景应用。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支持各有关部门、企业、行业协会、专业机构面向大众开展飞行培训、飞行表演、空中游览、航拍航摄、飞行体验、无人机竞速等场景，经评选列入</w:t>
      </w:r>
      <w:r>
        <w:rPr>
          <w:rFonts w:ascii="Times New Roman" w:hAnsi="Times New Roman" w:eastAsia="方正仿宋_GBK" w:cs="Times New Roman"/>
          <w:w w:val="100"/>
          <w:sz w:val="32"/>
          <w:szCs w:val="32"/>
          <w:shd w:val="clear" w:color="auto" w:fill="auto"/>
          <w:lang w:val="en-US" w:eastAsia="zh-CN" w:bidi="ar-SA"/>
        </w:rPr>
        <w:t>年度</w:t>
      </w:r>
      <w:r>
        <w:rPr>
          <w:rFonts w:hint="eastAsia" w:ascii="Times New Roman" w:hAnsi="Times New Roman" w:eastAsia="方正仿宋_GBK" w:cs="Times New Roman"/>
          <w:w w:val="100"/>
          <w:sz w:val="32"/>
          <w:szCs w:val="32"/>
          <w:shd w:val="clear" w:color="auto" w:fill="auto"/>
          <w:lang w:val="en-US" w:eastAsia="zh-CN" w:bidi="ar-SA"/>
        </w:rPr>
        <w:t>长春市</w:t>
      </w:r>
      <w:r>
        <w:rPr>
          <w:rFonts w:ascii="Times New Roman" w:hAnsi="Times New Roman" w:eastAsia="方正仿宋_GBK" w:cs="Times New Roman"/>
          <w:w w:val="100"/>
          <w:sz w:val="32"/>
          <w:szCs w:val="32"/>
          <w:shd w:val="clear" w:color="auto" w:fill="auto"/>
          <w:lang w:val="en-US" w:eastAsia="zh-CN" w:bidi="ar-SA"/>
        </w:rPr>
        <w:t>优秀案例的市场服务类的场景项目，按照不超过项目总投入的</w:t>
      </w:r>
      <w:r>
        <w:rPr>
          <w:rFonts w:hint="eastAsia" w:ascii="Times New Roman" w:hAnsi="Times New Roman" w:eastAsia="方正仿宋_GBK" w:cs="Times New Roman"/>
          <w:w w:val="100"/>
          <w:sz w:val="32"/>
          <w:szCs w:val="32"/>
          <w:shd w:val="clear" w:color="auto" w:fill="auto"/>
          <w:lang w:val="en-US" w:eastAsia="zh-CN" w:bidi="ar-SA"/>
        </w:rPr>
        <w:t>1</w:t>
      </w:r>
      <w:r>
        <w:rPr>
          <w:rFonts w:ascii="Times New Roman" w:hAnsi="Times New Roman" w:eastAsia="方正仿宋_GBK" w:cs="Times New Roman"/>
          <w:w w:val="100"/>
          <w:sz w:val="32"/>
          <w:szCs w:val="32"/>
          <w:shd w:val="clear" w:color="auto" w:fill="auto"/>
          <w:lang w:val="en-US" w:eastAsia="zh-CN" w:bidi="ar-SA"/>
        </w:rPr>
        <w:t>0%给予项目实施方最高不超过</w:t>
      </w:r>
      <w:r>
        <w:rPr>
          <w:rFonts w:hint="eastAsia" w:ascii="Times New Roman" w:hAnsi="Times New Roman" w:eastAsia="方正仿宋_GBK" w:cs="Times New Roman"/>
          <w:w w:val="100"/>
          <w:sz w:val="32"/>
          <w:szCs w:val="32"/>
          <w:shd w:val="clear" w:color="auto" w:fill="auto"/>
          <w:lang w:val="en-US" w:eastAsia="zh-CN" w:bidi="ar-SA"/>
        </w:rPr>
        <w:t>1</w:t>
      </w:r>
      <w:r>
        <w:rPr>
          <w:rFonts w:ascii="Times New Roman" w:hAnsi="Times New Roman" w:eastAsia="方正仿宋_GBK" w:cs="Times New Roman"/>
          <w:w w:val="100"/>
          <w:sz w:val="32"/>
          <w:szCs w:val="32"/>
          <w:shd w:val="clear" w:color="auto" w:fill="auto"/>
          <w:lang w:val="en-US" w:eastAsia="zh-CN" w:bidi="ar-SA"/>
        </w:rPr>
        <w:t>00万元奖励。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鼓励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新区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有关部门在应急救援、医疗救护、城市管理等公共服务领域购买低空飞行服务，丰富低空经济业态。</w:t>
      </w:r>
      <w:r>
        <w:rPr>
          <w:rFonts w:hint="eastAsia" w:ascii="方正楷体_GBK" w:hAnsi="方正楷体_GBK" w:eastAsia="方正楷体_GBK" w:cs="方正楷体_GBK"/>
          <w:spacing w:val="-6"/>
          <w:sz w:val="32"/>
          <w:szCs w:val="32"/>
          <w:shd w:val="clear" w:color="auto" w:fill="auto"/>
          <w:lang w:eastAsia="zh-CN"/>
        </w:rPr>
        <w:t>（责任部门：光电办、北湖投促局、工信局、商务文旅局、财政局）</w:t>
      </w: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="3" w:after="0" w:line="560" w:lineRule="exact"/>
        <w:ind w:left="0" w:right="288" w:firstLine="648" w:firstLineChars="200"/>
        <w:jc w:val="both"/>
        <w:textAlignment w:val="baseline"/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pacing w:val="2"/>
          <w:sz w:val="32"/>
          <w:szCs w:val="32"/>
        </w:rPr>
        <w:t>九、支持加强基础设施建设。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鼓励社会资本投资建设地面配套</w:t>
      </w:r>
      <w:r>
        <w:rPr>
          <w:rFonts w:ascii="Times New Roman" w:hAnsi="Times New Roman" w:eastAsia="方正仿宋_GBK" w:cs="Times New Roman"/>
          <w:spacing w:val="-2"/>
          <w:sz w:val="32"/>
          <w:szCs w:val="32"/>
          <w:shd w:val="clear" w:color="auto" w:fill="auto"/>
          <w:lang w:val="en-US" w:eastAsia="zh-CN" w:bidi="ar-SA"/>
        </w:rPr>
        <w:t>设施(飞行起降设施、充换电及公共测试场等)、低空信息基础设施(通信、气象、监测、导航、反制等设施和平台),给予相关企业实际建设费用最高</w:t>
      </w:r>
      <w:r>
        <w:rPr>
          <w:rFonts w:hint="eastAsia" w:ascii="Times New Roman" w:hAnsi="Times New Roman" w:eastAsia="方正仿宋_GBK" w:cs="Times New Roman"/>
          <w:spacing w:val="-2"/>
          <w:sz w:val="32"/>
          <w:szCs w:val="32"/>
          <w:shd w:val="clear" w:color="auto" w:fill="auto"/>
          <w:lang w:val="en-US" w:eastAsia="zh-CN" w:bidi="ar-SA"/>
        </w:rPr>
        <w:t>1</w:t>
      </w:r>
      <w:r>
        <w:rPr>
          <w:rFonts w:ascii="Times New Roman" w:hAnsi="Times New Roman" w:eastAsia="方正仿宋_GBK" w:cs="Times New Roman"/>
          <w:spacing w:val="-2"/>
          <w:sz w:val="32"/>
          <w:szCs w:val="32"/>
          <w:shd w:val="clear" w:color="auto" w:fill="auto"/>
          <w:lang w:val="en-US" w:eastAsia="zh-CN" w:bidi="ar-SA"/>
        </w:rPr>
        <w:t>0%的一次性补贴 (不包含航空器采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购费用),单个项目最高补贴10万元，每个企业或机构每年不超过50万元。</w:t>
      </w:r>
      <w:r>
        <w:rPr>
          <w:rFonts w:hint="eastAsia" w:ascii="方正楷体_GBK" w:hAnsi="方正楷体_GBK" w:eastAsia="方正楷体_GBK" w:cs="方正楷体_GBK"/>
          <w:spacing w:val="-6"/>
          <w:sz w:val="32"/>
          <w:szCs w:val="32"/>
          <w:shd w:val="clear" w:color="auto" w:fill="auto"/>
          <w:lang w:eastAsia="zh-CN"/>
        </w:rPr>
        <w:t>（责任部门：光电办、北湖投促局、工信局、住建局、规自中心、财政局）</w:t>
      </w: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="3" w:after="0" w:line="560" w:lineRule="exact"/>
        <w:ind w:left="0" w:right="288" w:firstLine="656" w:firstLineChars="200"/>
        <w:jc w:val="both"/>
        <w:textAlignment w:val="baseline"/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spacing w:val="4"/>
          <w:sz w:val="32"/>
          <w:szCs w:val="32"/>
        </w:rPr>
        <w:t>十、支持企业参与办展参展。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鼓励企业参加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长春市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举办的低空经济业影响力的专题活动， 对于符合相关条件的，按照活动举办费用的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1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0%给予承办企业或机构一次性奖励，不超过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1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0万元。对企业参加低空经济领域重要会展、活动，经遴选，单场给予参展费用最高5%不超过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5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万元补贴，每个企业每年不超过10万元。</w:t>
      </w:r>
      <w:r>
        <w:rPr>
          <w:rFonts w:hint="eastAsia" w:ascii="方正楷体_GBK" w:hAnsi="方正楷体_GBK" w:eastAsia="方正楷体_GBK" w:cs="方正楷体_GBK"/>
          <w:spacing w:val="-6"/>
          <w:sz w:val="32"/>
          <w:szCs w:val="32"/>
          <w:shd w:val="clear" w:color="auto" w:fill="auto"/>
          <w:lang w:eastAsia="zh-CN"/>
        </w:rPr>
        <w:t>（责任部门：光电办、北湖投促局、商务文旅局、财政局）</w:t>
      </w:r>
    </w:p>
    <w:p>
      <w:pPr>
        <w:ind w:firstLine="765" w:firstLineChars="250"/>
        <w:rPr>
          <w:rFonts w:ascii="Times New Roman" w:hAnsi="Times New Roman" w:eastAsia="方正仿宋_GBK" w:cs="Times New Roman"/>
          <w:spacing w:val="-7"/>
          <w:sz w:val="32"/>
          <w:szCs w:val="32"/>
          <w:shd w:val="clear" w:color="auto" w:fill="auto"/>
          <w:lang w:val="en-US" w:eastAsia="zh-CN"/>
        </w:rPr>
      </w:pPr>
    </w:p>
    <w:p>
      <w:pPr>
        <w:ind w:firstLine="800" w:firstLineChars="250"/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</w:pP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以上措施自印发之日起试行，由相关责任部门负责制定具体实施细则，有效期至2026年12月31日，有明确期限的具体政策按其时限执行，国家、省市另有规定的从其规定。</w:t>
      </w: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="3" w:after="0" w:line="560" w:lineRule="exact"/>
        <w:ind w:right="288"/>
        <w:jc w:val="both"/>
        <w:textAlignment w:val="baseline"/>
        <w:rPr>
          <w:rFonts w:hint="eastAsia" w:ascii="Times New Roman" w:hAnsi="Times New Roman" w:eastAsia="方正仿宋_GBK" w:cs="Times New Roman"/>
          <w:color w:val="000000"/>
          <w:spacing w:val="-2"/>
          <w:sz w:val="32"/>
          <w:szCs w:val="32"/>
          <w:shd w:val="clear" w:color="auto" w:fill="auto"/>
          <w:lang w:val="en-US" w:eastAsia="zh-CN"/>
        </w:rPr>
      </w:pPr>
      <w:bookmarkStart w:id="0" w:name="_GoBack"/>
      <w:bookmarkEnd w:id="0"/>
    </w:p>
    <w:sectPr>
      <w:type w:val="continuous"/>
      <w:pgSz w:w="11920" w:h="16840"/>
      <w:pgMar w:top="2098" w:right="1474" w:bottom="1984" w:left="1587" w:header="0" w:footer="0" w:gutter="0"/>
      <w:cols w:space="0" w:num="1"/>
      <w:rtlGutter w:val="1"/>
      <w:docGrid w:linePitch="27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Droid Sans Fallback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Lucida Sans">
    <w:altName w:val="DejaVu Sans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0"/>
  <w:drawingGridVerticalSpacing w:val="156"/>
  <w:displayHorizontalDrawingGridEvery w:val="0"/>
  <w:displayVerticalDrawingGridEvery w:val="1"/>
  <w:compat>
    <w:ulTrailSpace/>
    <w:doNotExpandShiftReturn/>
    <w:useFELayout/>
    <w:compatSetting w:name="compatibilityMode" w:uri="http://schemas.microsoft.com/office/word" w:val="14"/>
  </w:compat>
  <w:rsids>
    <w:rsidRoot w:val="00000000"/>
    <w:rsid w:val="5DED70D9"/>
    <w:rsid w:val="7EEDDA56"/>
    <w:rsid w:val="BFFEC51E"/>
    <w:rsid w:val="F4FF9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Lucida Sans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" w:hAnsi="Arial" w:eastAsia="宋体" w:cs="Arial"/>
      <w:sz w:val="20"/>
      <w:szCs w:val="20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9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link w:val="10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rPr>
      <w:rFonts w:ascii="宋体" w:hAnsi="宋体" w:eastAsia="宋体" w:cs="宋体"/>
      <w:sz w:val="32"/>
      <w:szCs w:val="32"/>
      <w:lang w:val="en-US" w:eastAsia="zh-CN" w:bidi="ar-SA"/>
    </w:rPr>
  </w:style>
  <w:style w:type="character" w:customStyle="1" w:styleId="8">
    <w:name w:val="heading 1 Char"/>
    <w:basedOn w:val="7"/>
    <w:link w:val="2"/>
    <w:qFormat/>
    <w:uiPriority w:val="0"/>
    <w:rPr>
      <w:rFonts w:ascii="Arial" w:hAnsi="Arial" w:eastAsia="宋体" w:cs="Arial"/>
      <w:b/>
      <w:bCs/>
      <w:kern w:val="44"/>
      <w:sz w:val="44"/>
      <w:szCs w:val="44"/>
      <w:lang w:val="en-US" w:eastAsia="zh-CN" w:bidi="ar-SA"/>
    </w:rPr>
  </w:style>
  <w:style w:type="character" w:customStyle="1" w:styleId="9">
    <w:name w:val="heading 2 Char"/>
    <w:basedOn w:val="7"/>
    <w:link w:val="3"/>
    <w:qFormat/>
    <w:uiPriority w:val="0"/>
    <w:rPr>
      <w:rFonts w:ascii="Times New Roman" w:hAnsi="Times New Roman" w:eastAsia="黑体" w:cs="Arial"/>
      <w:b/>
      <w:bCs/>
      <w:sz w:val="32"/>
      <w:szCs w:val="32"/>
      <w:lang w:val="en-US" w:eastAsia="zh-CN" w:bidi="ar-SA"/>
    </w:rPr>
  </w:style>
  <w:style w:type="character" w:customStyle="1" w:styleId="10">
    <w:name w:val="heading 3 Char"/>
    <w:basedOn w:val="7"/>
    <w:link w:val="4"/>
    <w:qFormat/>
    <w:uiPriority w:val="0"/>
    <w:rPr>
      <w:rFonts w:ascii="Arial" w:hAnsi="Arial" w:eastAsia="宋体" w:cs="Arial"/>
      <w:b/>
      <w:bCs/>
      <w:sz w:val="32"/>
      <w:szCs w:val="32"/>
      <w:lang w:val="en-US" w:eastAsia="zh-CN" w:bidi="ar-SA"/>
    </w:rPr>
  </w:style>
  <w:style w:type="paragraph" w:styleId="11">
    <w:name w:val="List Paragraph"/>
    <w:basedOn w:val="1"/>
    <w:qFormat/>
    <w:uiPriority w:val="0"/>
    <w:pPr>
      <w:spacing w:before="149"/>
      <w:ind w:left="1066" w:hanging="319"/>
    </w:pPr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1"/>
        </a:gradFill>
      </a:fillStyleLst>
      <a:lnStyleLst>
        <a:ln w="9525" cap="flat" cmpd="sng">
          <a:solidFill>
            <a:schemeClr val="phClr">
              <a:shade val="95000"/>
              <a:satMod val="105000"/>
            </a:schemeClr>
          </a:solidFill>
          <a:prstDash val="solid"/>
          <a:round/>
        </a:ln>
        <a:ln w="25400" cap="flat" cmpd="sng">
          <a:solidFill>
            <a:schemeClr val="phClr"/>
          </a:solidFill>
          <a:prstDash val="solid"/>
          <a:round/>
        </a:ln>
        <a:ln w="38100" cap="flat" cmpd="sng">
          <a:solidFill>
            <a:schemeClr val="phClr"/>
          </a:solidFill>
          <a:prstDash val="solid"/>
          <a:round/>
        </a:ln>
      </a:lnStyleLst>
      <a:effectStyleLst>
        <a:effectStyle>
          <a:effectLst>
            <a:outerShdw blurRad="40000" dist="20000" dir="5400000" rotWithShape="0">
              <a:srgbClr val="000000">
                <a:alpha val="37647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4509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4509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100000"/>
          </a:path>
          <a:tileRect r="-100000" b="-10000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6</Pages>
  <Words>0</Words>
  <Characters>2087</Characters>
  <Lines>0</Lines>
  <Paragraphs>43</Paragraphs>
  <TotalTime>13</TotalTime>
  <ScaleCrop>false</ScaleCrop>
  <LinksUpToDate>false</LinksUpToDate>
  <CharactersWithSpaces>2783</CharactersWithSpaces>
  <Application>WPS Office_11.1.0.11664_F1E327BC-269C-435d-A152-05C5408002CA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2024-12-03T09:01:00Z</dcterms:created>
  <dc:creator>Administrator</dc:creator>
  <cp:lastModifiedBy>张镝</cp:lastModifiedBy>
  <cp:lastPrinted>2024-12-24T08:15:00Z</cp:lastPrinted>
  <dcterms:modified xsi:type="dcterms:W3CDTF">2025-02-06T16:15:48Z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2052-11.1.0.11664</vt:lpwstr>
  </property>
  <property fmtid="{D5CDD505-2E9C-101B-9397-08002B2CF9AE}" pid="3" name="ICV">
    <vt:lpwstr>77EC8CCCC85B4110A1821D193B4B2EEE_13</vt:lpwstr>
  </property>
  <property fmtid="{D5CDD505-2E9C-101B-9397-08002B2CF9AE}" pid="4" name="KSOTemplateDocerSaveRecord">
    <vt:lpwstr>eyJoZGlkIjoiNjY0MTZkOWQ5OTgzYzRmY2QxMjhhZWM4ZGYwNThlOTEiLCJ1c2VySWQiOiIyODAwMjI3MjIifQ==</vt:lpwstr>
  </property>
</Properties>
</file>