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9E27C">
      <w:pPr>
        <w:ind w:firstLine="0" w:firstLineChars="0"/>
        <w:jc w:val="center"/>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spacing w:val="1"/>
          <w:w w:val="99"/>
          <w:kern w:val="0"/>
          <w:sz w:val="44"/>
          <w:szCs w:val="44"/>
        </w:rPr>
        <w:t>长</w:t>
      </w:r>
      <w:r>
        <w:rPr>
          <w:rFonts w:hint="eastAsia" w:ascii="方正小标宋_GBK" w:hAnsi="方正小标宋_GBK" w:eastAsia="方正小标宋_GBK" w:cs="方正小标宋_GBK"/>
          <w:color w:val="000000"/>
          <w:kern w:val="0"/>
          <w:sz w:val="44"/>
          <w:szCs w:val="44"/>
        </w:rPr>
        <w:t>春新区支持现代服务业</w:t>
      </w:r>
    </w:p>
    <w:p w14:paraId="0DF39B83">
      <w:pPr>
        <w:ind w:firstLine="0" w:firstLineChars="0"/>
        <w:jc w:val="center"/>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w w:val="99"/>
          <w:kern w:val="0"/>
          <w:sz w:val="44"/>
          <w:szCs w:val="44"/>
        </w:rPr>
        <w:t>高</w:t>
      </w:r>
      <w:r>
        <w:rPr>
          <w:rFonts w:hint="eastAsia" w:ascii="方正小标宋_GBK" w:hAnsi="方正小标宋_GBK" w:eastAsia="方正小标宋_GBK" w:cs="方正小标宋_GBK"/>
          <w:color w:val="000000"/>
          <w:kern w:val="0"/>
          <w:sz w:val="44"/>
          <w:szCs w:val="44"/>
        </w:rPr>
        <w:t>质量发展若干措施</w:t>
      </w:r>
      <w:r>
        <w:rPr>
          <w:rFonts w:ascii="方正小标宋_GBK" w:hAnsi="方正小标宋_GBK" w:eastAsia="方正小标宋_GBK" w:cs="方正小标宋_GBK"/>
          <w:color w:val="000000"/>
          <w:kern w:val="0"/>
          <w:sz w:val="44"/>
          <w:szCs w:val="44"/>
        </w:rPr>
        <w:t>（试行）</w:t>
      </w:r>
    </w:p>
    <w:p w14:paraId="44EE2189">
      <w:pPr>
        <w:jc w:val="left"/>
        <w:rPr>
          <w:rFonts w:ascii="Times New Roman" w:hAnsi="Times New Roman" w:eastAsia="方正仿宋_GBK" w:cs="Times New Roman"/>
          <w:sz w:val="32"/>
          <w:szCs w:val="32"/>
          <w:lang w:val="en-US" w:eastAsia="zh-CN"/>
        </w:rPr>
      </w:pPr>
    </w:p>
    <w:p w14:paraId="067A1DE3">
      <w:pPr>
        <w:jc w:val="left"/>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为</w:t>
      </w:r>
      <w:r>
        <w:rPr>
          <w:rFonts w:hint="eastAsia" w:ascii="Times New Roman" w:hAnsi="Times New Roman" w:eastAsia="方正仿宋_GBK" w:cs="Times New Roman"/>
          <w:sz w:val="32"/>
          <w:szCs w:val="32"/>
        </w:rPr>
        <w:t>促进长春新区现代服务业加快发展，不断完善和提升区域服务功能，构建高效</w:t>
      </w:r>
      <w:r>
        <w:rPr>
          <w:rFonts w:hint="eastAsia" w:ascii="Times New Roman" w:hAnsi="Times New Roman" w:eastAsia="方正仿宋_GBK" w:cs="Times New Roman"/>
          <w:sz w:val="32"/>
          <w:szCs w:val="32"/>
          <w:lang w:val="en-US" w:eastAsia="zh-CN"/>
        </w:rPr>
        <w:t>现代</w:t>
      </w:r>
      <w:r>
        <w:rPr>
          <w:rFonts w:hint="eastAsia" w:ascii="Times New Roman" w:hAnsi="Times New Roman" w:eastAsia="方正仿宋_GBK" w:cs="Times New Roman"/>
          <w:sz w:val="32"/>
          <w:szCs w:val="32"/>
        </w:rPr>
        <w:t>服务业体系，</w:t>
      </w:r>
      <w:r>
        <w:rPr>
          <w:rFonts w:ascii="Times New Roman" w:hAnsi="Times New Roman" w:eastAsia="方正仿宋_GBK" w:cs="Times New Roman"/>
          <w:spacing w:val="-6"/>
          <w:sz w:val="32"/>
          <w:szCs w:val="32"/>
          <w:shd w:val="clear" w:color="auto" w:fill="auto"/>
        </w:rPr>
        <w:t>在《长春新区推动经济持续向好若干措施》基础上，出台《长春新区支持</w:t>
      </w:r>
      <w:r>
        <w:rPr>
          <w:rFonts w:hint="eastAsia" w:ascii="Times New Roman" w:hAnsi="Times New Roman" w:eastAsia="方正仿宋_GBK" w:cs="Times New Roman"/>
          <w:spacing w:val="-6"/>
          <w:sz w:val="32"/>
          <w:szCs w:val="32"/>
          <w:shd w:val="clear" w:color="auto" w:fill="auto"/>
        </w:rPr>
        <w:t>现代服务业</w:t>
      </w:r>
      <w:r>
        <w:rPr>
          <w:rFonts w:ascii="Times New Roman" w:hAnsi="Times New Roman" w:eastAsia="方正仿宋_GBK" w:cs="Times New Roman"/>
          <w:spacing w:val="-6"/>
          <w:sz w:val="32"/>
          <w:szCs w:val="32"/>
          <w:shd w:val="clear" w:color="auto" w:fill="auto"/>
        </w:rPr>
        <w:t>高质量发展若干措施》，形成</w:t>
      </w:r>
      <w:r>
        <w:rPr>
          <w:rFonts w:hint="eastAsia" w:ascii="Times New Roman" w:hAnsi="Times New Roman" w:eastAsia="方正仿宋_GBK" w:cs="Times New Roman"/>
          <w:spacing w:val="-6"/>
          <w:sz w:val="32"/>
          <w:szCs w:val="32"/>
          <w:shd w:val="clear" w:color="auto" w:fill="auto"/>
        </w:rPr>
        <w:t>“</w:t>
      </w:r>
      <w:r>
        <w:rPr>
          <w:rFonts w:ascii="Times New Roman" w:hAnsi="Times New Roman" w:eastAsia="方正仿宋_GBK" w:cs="Times New Roman"/>
          <w:spacing w:val="-6"/>
          <w:sz w:val="32"/>
          <w:szCs w:val="32"/>
          <w:shd w:val="clear" w:color="auto" w:fill="auto"/>
        </w:rPr>
        <w:t>1+1</w:t>
      </w:r>
      <w:r>
        <w:rPr>
          <w:rFonts w:hint="eastAsia" w:ascii="Times New Roman" w:hAnsi="Times New Roman" w:eastAsia="方正仿宋_GBK" w:cs="Times New Roman"/>
          <w:spacing w:val="-6"/>
          <w:sz w:val="32"/>
          <w:szCs w:val="32"/>
          <w:shd w:val="clear" w:color="auto" w:fill="auto"/>
        </w:rPr>
        <w:t>”</w:t>
      </w:r>
      <w:r>
        <w:rPr>
          <w:rFonts w:ascii="Times New Roman" w:hAnsi="Times New Roman" w:eastAsia="方正仿宋_GBK" w:cs="Times New Roman"/>
          <w:spacing w:val="-6"/>
          <w:sz w:val="32"/>
          <w:szCs w:val="32"/>
          <w:shd w:val="clear" w:color="auto" w:fill="auto"/>
        </w:rPr>
        <w:t>政策支持体系</w:t>
      </w:r>
      <w:r>
        <w:rPr>
          <w:rFonts w:ascii="Times New Roman" w:hAnsi="Times New Roman" w:eastAsia="方正仿宋_GBK" w:cs="Times New Roman"/>
          <w:spacing w:val="1"/>
          <w:sz w:val="32"/>
          <w:szCs w:val="32"/>
          <w:shd w:val="clear" w:color="auto" w:fill="auto"/>
          <w:lang w:eastAsia="zh-CN"/>
        </w:rPr>
        <w:t>。</w:t>
      </w:r>
      <w:r>
        <w:rPr>
          <w:rFonts w:hint="eastAsia" w:ascii="Times New Roman" w:hAnsi="Times New Roman" w:eastAsia="方正仿宋_GBK" w:cs="Times New Roman"/>
          <w:sz w:val="32"/>
          <w:szCs w:val="32"/>
          <w:lang w:val="en-US" w:eastAsia="zh-CN"/>
        </w:rPr>
        <w:t>重点支持领域包括：商贸、文旅体、网络货运、冷链物流等方向。</w:t>
      </w:r>
    </w:p>
    <w:p w14:paraId="0669C026">
      <w:pPr>
        <w:jc w:val="left"/>
        <w:rPr>
          <w:rFonts w:hint="eastAsia" w:ascii="方正楷体_GBK" w:hAnsi="方正楷体_GBK" w:eastAsia="方正楷体_GBK" w:cs="方正楷体_GBK"/>
          <w:sz w:val="32"/>
          <w:szCs w:val="32"/>
        </w:rPr>
      </w:pPr>
      <w:r>
        <w:rPr>
          <w:rFonts w:hint="eastAsia" w:ascii="方正黑体_GBK" w:hAnsi="方正黑体_GBK" w:eastAsia="方正黑体_GBK" w:cs="方正黑体_GBK"/>
          <w:sz w:val="32"/>
          <w:szCs w:val="32"/>
        </w:rPr>
        <w:t>一、</w:t>
      </w:r>
      <w:r>
        <w:rPr>
          <w:rFonts w:hint="eastAsia" w:ascii="方正黑体_GBK" w:hAnsi="方正黑体_GBK" w:eastAsia="方正黑体_GBK" w:cs="方正黑体_GBK"/>
          <w:sz w:val="32"/>
          <w:szCs w:val="32"/>
          <w:lang w:val="en-US" w:eastAsia="zh-CN"/>
        </w:rPr>
        <w:t>大力发展首店经济、首发经济</w:t>
      </w:r>
      <w:r>
        <w:rPr>
          <w:rFonts w:hint="eastAsia" w:ascii="方正黑体_GBK" w:hAnsi="方正黑体_GBK" w:eastAsia="方正黑体_GBK" w:cs="方正黑体_GBK"/>
          <w:sz w:val="32"/>
          <w:szCs w:val="32"/>
        </w:rPr>
        <w:t>。</w:t>
      </w:r>
      <w:r>
        <w:rPr>
          <w:rFonts w:hint="eastAsia" w:ascii="Times New Roman" w:hAnsi="Times New Roman" w:eastAsia="方正仿宋_GBK" w:cs="Times New Roman"/>
          <w:sz w:val="32"/>
          <w:szCs w:val="32"/>
          <w:lang w:val="en-US" w:eastAsia="zh-CN"/>
        </w:rPr>
        <w:t>对每年引进10家以上长春市首店品牌的商场、商街等市场主体，给予一次性奖励5万元；对每年举办30场以上长春市首发活动的市场主体，给与一次性奖励5万元。</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责任部门：</w:t>
      </w:r>
      <w:r>
        <w:rPr>
          <w:rFonts w:hint="eastAsia" w:ascii="方正楷体_GBK" w:hAnsi="方正楷体_GBK" w:eastAsia="方正楷体_GBK" w:cs="方正楷体_GBK"/>
          <w:sz w:val="32"/>
          <w:szCs w:val="32"/>
        </w:rPr>
        <w:t>商务</w:t>
      </w:r>
      <w:r>
        <w:rPr>
          <w:rFonts w:hint="eastAsia" w:ascii="方正楷体_GBK" w:hAnsi="方正楷体_GBK" w:eastAsia="方正楷体_GBK" w:cs="方正楷体_GBK"/>
          <w:sz w:val="32"/>
          <w:szCs w:val="32"/>
          <w:lang w:val="en-US" w:eastAsia="zh-CN"/>
        </w:rPr>
        <w:t>文旅</w:t>
      </w:r>
      <w:r>
        <w:rPr>
          <w:rFonts w:hint="eastAsia" w:ascii="方正楷体_GBK" w:hAnsi="方正楷体_GBK" w:eastAsia="方正楷体_GBK" w:cs="方正楷体_GBK"/>
          <w:sz w:val="32"/>
          <w:szCs w:val="32"/>
        </w:rPr>
        <w:t>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配合部门：文旅办、</w:t>
      </w:r>
      <w:r>
        <w:rPr>
          <w:rFonts w:hint="eastAsia" w:ascii="方正楷体_GBK" w:hAnsi="方正楷体_GBK" w:eastAsia="方正楷体_GBK" w:cs="方正楷体_GBK"/>
          <w:sz w:val="32"/>
          <w:szCs w:val="32"/>
        </w:rPr>
        <w:t>财政局）</w:t>
      </w:r>
    </w:p>
    <w:p w14:paraId="25E5D815">
      <w:pPr>
        <w:jc w:val="left"/>
        <w:rPr>
          <w:rFonts w:hint="eastAsia" w:ascii="方正楷体_GBK" w:hAnsi="方正楷体_GBK" w:eastAsia="方正楷体_GBK" w:cs="方正楷体_GBK"/>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b w:val="0"/>
          <w:bCs w:val="0"/>
          <w:sz w:val="32"/>
          <w:szCs w:val="32"/>
          <w:lang w:val="en-US" w:eastAsia="zh-CN"/>
        </w:rPr>
        <w:t>加力实施“两新”政策</w:t>
      </w:r>
      <w:r>
        <w:rPr>
          <w:rFonts w:hint="eastAsia" w:ascii="方正黑体_GBK" w:hAnsi="方正黑体_GBK" w:eastAsia="方正黑体_GBK" w:cs="方正黑体_GBK"/>
          <w:b w:val="0"/>
          <w:bCs w:val="0"/>
          <w:sz w:val="32"/>
          <w:szCs w:val="32"/>
        </w:rPr>
        <w:t>。</w:t>
      </w:r>
      <w:r>
        <w:rPr>
          <w:rFonts w:hint="eastAsia" w:ascii="Times New Roman" w:hAnsi="Times New Roman" w:eastAsia="方正仿宋_GBK" w:cs="Times New Roman"/>
          <w:sz w:val="32"/>
          <w:szCs w:val="32"/>
          <w:lang w:val="en-US" w:eastAsia="zh-CN"/>
        </w:rPr>
        <w:t>在国家、省“消费品以旧换新”政策基础上，对汽车以旧换新、家电以旧换新给予区级补贴，按照消费者在新区市场主体内进行以旧换新消费后，申领补贴总额度的4%给予市场主体区级补贴。</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责任部门：</w:t>
      </w:r>
      <w:r>
        <w:rPr>
          <w:rFonts w:hint="eastAsia" w:ascii="方正楷体_GBK" w:hAnsi="方正楷体_GBK" w:eastAsia="方正楷体_GBK" w:cs="方正楷体_GBK"/>
          <w:sz w:val="32"/>
          <w:szCs w:val="32"/>
        </w:rPr>
        <w:t>商务</w:t>
      </w:r>
      <w:r>
        <w:rPr>
          <w:rFonts w:hint="eastAsia" w:ascii="方正楷体_GBK" w:hAnsi="方正楷体_GBK" w:eastAsia="方正楷体_GBK" w:cs="方正楷体_GBK"/>
          <w:sz w:val="32"/>
          <w:szCs w:val="32"/>
          <w:lang w:val="en-US" w:eastAsia="zh-CN"/>
        </w:rPr>
        <w:t>文旅</w:t>
      </w:r>
      <w:r>
        <w:rPr>
          <w:rFonts w:hint="eastAsia" w:ascii="方正楷体_GBK" w:hAnsi="方正楷体_GBK" w:eastAsia="方正楷体_GBK" w:cs="方正楷体_GBK"/>
          <w:sz w:val="32"/>
          <w:szCs w:val="32"/>
        </w:rPr>
        <w:t>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配合部门：文旅办、</w:t>
      </w:r>
      <w:r>
        <w:rPr>
          <w:rFonts w:hint="eastAsia" w:ascii="方正楷体_GBK" w:hAnsi="方正楷体_GBK" w:eastAsia="方正楷体_GBK" w:cs="方正楷体_GBK"/>
          <w:sz w:val="32"/>
          <w:szCs w:val="32"/>
        </w:rPr>
        <w:t xml:space="preserve">财政局） </w:t>
      </w:r>
    </w:p>
    <w:p w14:paraId="7C56399F">
      <w:pPr>
        <w:jc w:val="left"/>
        <w:rPr>
          <w:rFonts w:hint="eastAsia" w:ascii="方正楷体_GBK" w:hAnsi="方正楷体_GBK" w:eastAsia="方正楷体_GBK" w:cs="方正楷体_GBK"/>
          <w:sz w:val="32"/>
          <w:szCs w:val="32"/>
        </w:rPr>
      </w:pPr>
      <w:r>
        <w:rPr>
          <w:rFonts w:hint="eastAsia" w:ascii="方正黑体_GBK" w:hAnsi="方正黑体_GBK" w:eastAsia="方正黑体_GBK" w:cs="方正黑体_GBK"/>
          <w:sz w:val="32"/>
          <w:szCs w:val="32"/>
          <w:lang w:val="en-US" w:eastAsia="zh-CN"/>
        </w:rPr>
        <w:t>三</w:t>
      </w:r>
      <w:r>
        <w:rPr>
          <w:rFonts w:hint="eastAsia" w:ascii="方正黑体_GBK" w:hAnsi="方正黑体_GBK" w:eastAsia="方正黑体_GBK" w:cs="方正黑体_GBK"/>
          <w:sz w:val="32"/>
          <w:szCs w:val="32"/>
        </w:rPr>
        <w:t>、积极推动餐饮住宿产业集聚。</w:t>
      </w:r>
      <w:r>
        <w:rPr>
          <w:rFonts w:hint="eastAsia" w:ascii="Times New Roman" w:hAnsi="Times New Roman" w:eastAsia="方正仿宋_GBK" w:cs="Times New Roman"/>
          <w:sz w:val="32"/>
          <w:szCs w:val="32"/>
        </w:rPr>
        <w:t>对新落位新区的餐饮类（经营面积1000平方米以上的）和住宿类法人单位（经营面积2000平方米以上的），并在当年实现进限入统的，给予一次性奖励</w:t>
      </w:r>
      <w:r>
        <w:rPr>
          <w:rFonts w:hint="eastAsia" w:ascii="Times New Roman" w:hAnsi="Times New Roman" w:eastAsia="方正仿宋_GBK" w:cs="Times New Roman"/>
          <w:sz w:val="32"/>
          <w:szCs w:val="32"/>
          <w:lang w:eastAsia="zh-CN"/>
        </w:rPr>
        <w:t>5</w:t>
      </w:r>
      <w:r>
        <w:rPr>
          <w:rFonts w:hint="eastAsia" w:ascii="Times New Roman" w:hAnsi="Times New Roman" w:eastAsia="方正仿宋_GBK" w:cs="Times New Roman"/>
          <w:sz w:val="32"/>
          <w:szCs w:val="32"/>
        </w:rPr>
        <w:t>万元。</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责任部门：</w:t>
      </w:r>
      <w:r>
        <w:rPr>
          <w:rFonts w:hint="eastAsia" w:ascii="方正楷体_GBK" w:hAnsi="方正楷体_GBK" w:eastAsia="方正楷体_GBK" w:cs="方正楷体_GBK"/>
          <w:sz w:val="32"/>
          <w:szCs w:val="32"/>
        </w:rPr>
        <w:t>商务</w:t>
      </w:r>
      <w:r>
        <w:rPr>
          <w:rFonts w:hint="eastAsia" w:ascii="方正楷体_GBK" w:hAnsi="方正楷体_GBK" w:eastAsia="方正楷体_GBK" w:cs="方正楷体_GBK"/>
          <w:sz w:val="32"/>
          <w:szCs w:val="32"/>
          <w:lang w:val="en-US" w:eastAsia="zh-CN"/>
        </w:rPr>
        <w:t>文旅</w:t>
      </w:r>
      <w:r>
        <w:rPr>
          <w:rFonts w:hint="eastAsia" w:ascii="方正楷体_GBK" w:hAnsi="方正楷体_GBK" w:eastAsia="方正楷体_GBK" w:cs="方正楷体_GBK"/>
          <w:sz w:val="32"/>
          <w:szCs w:val="32"/>
        </w:rPr>
        <w:t>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配合部门：文旅办、</w:t>
      </w:r>
      <w:r>
        <w:rPr>
          <w:rFonts w:hint="eastAsia" w:ascii="方正楷体_GBK" w:hAnsi="方正楷体_GBK" w:eastAsia="方正楷体_GBK" w:cs="方正楷体_GBK"/>
          <w:sz w:val="32"/>
          <w:szCs w:val="32"/>
        </w:rPr>
        <w:t>财政局）</w:t>
      </w:r>
    </w:p>
    <w:p w14:paraId="34B1D26D">
      <w:pPr>
        <w:jc w:val="left"/>
        <w:rPr>
          <w:rFonts w:hint="eastAsia" w:ascii="方正楷体_GBK" w:hAnsi="方正楷体_GBK" w:eastAsia="方正楷体_GBK" w:cs="方正楷体_GBK"/>
          <w:sz w:val="32"/>
          <w:szCs w:val="32"/>
        </w:rPr>
      </w:pPr>
      <w:r>
        <w:rPr>
          <w:rFonts w:hint="eastAsia" w:ascii="方正黑体_GBK" w:hAnsi="方正黑体_GBK" w:eastAsia="方正黑体_GBK" w:cs="方正黑体_GBK"/>
          <w:sz w:val="32"/>
          <w:szCs w:val="32"/>
          <w:lang w:val="en-US" w:eastAsia="zh-CN"/>
        </w:rPr>
        <w:t>四</w:t>
      </w:r>
      <w:r>
        <w:rPr>
          <w:rFonts w:hint="eastAsia" w:ascii="方正黑体_GBK" w:hAnsi="方正黑体_GBK" w:eastAsia="方正黑体_GBK" w:cs="方正黑体_GBK"/>
          <w:sz w:val="32"/>
          <w:szCs w:val="32"/>
        </w:rPr>
        <w:t>、支持文旅</w:t>
      </w:r>
      <w:r>
        <w:rPr>
          <w:rFonts w:hint="eastAsia" w:ascii="方正黑体_GBK" w:hAnsi="方正黑体_GBK" w:eastAsia="方正黑体_GBK" w:cs="方正黑体_GBK"/>
          <w:sz w:val="32"/>
          <w:szCs w:val="32"/>
          <w:lang w:val="en-US" w:eastAsia="zh-CN"/>
        </w:rPr>
        <w:t>重点</w:t>
      </w:r>
      <w:r>
        <w:rPr>
          <w:rFonts w:ascii="方正黑体_GBK" w:hAnsi="方正黑体_GBK" w:eastAsia="方正黑体_GBK" w:cs="方正黑体_GBK"/>
          <w:sz w:val="32"/>
          <w:szCs w:val="32"/>
          <w:lang w:val="en-US" w:eastAsia="zh-CN"/>
        </w:rPr>
        <w:t>企业</w:t>
      </w:r>
      <w:r>
        <w:rPr>
          <w:rFonts w:hint="eastAsia" w:ascii="方正黑体_GBK" w:hAnsi="方正黑体_GBK" w:eastAsia="方正黑体_GBK" w:cs="方正黑体_GBK"/>
          <w:sz w:val="32"/>
          <w:szCs w:val="32"/>
        </w:rPr>
        <w:t>发展。</w:t>
      </w:r>
      <w:r>
        <w:rPr>
          <w:rFonts w:hint="eastAsia" w:ascii="Times New Roman" w:hAnsi="Times New Roman" w:eastAsia="方正仿宋_GBK" w:cs="Times New Roman"/>
          <w:sz w:val="32"/>
          <w:szCs w:val="32"/>
        </w:rPr>
        <w:t>对新获得国家级夜间文旅消费集聚区称号的运营企业，给予一次性奖励10万元</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对新获得市级（含市级）以上研学旅行基地、工业旅游示范基地的运营企业给予一次性奖励3万元。</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责任部门：</w:t>
      </w:r>
      <w:r>
        <w:rPr>
          <w:rFonts w:hint="eastAsia" w:ascii="方正楷体_GBK" w:hAnsi="方正楷体_GBK" w:eastAsia="方正楷体_GBK" w:cs="方正楷体_GBK"/>
          <w:sz w:val="32"/>
          <w:szCs w:val="32"/>
        </w:rPr>
        <w:t>商务</w:t>
      </w:r>
      <w:r>
        <w:rPr>
          <w:rFonts w:hint="eastAsia" w:ascii="方正楷体_GBK" w:hAnsi="方正楷体_GBK" w:eastAsia="方正楷体_GBK" w:cs="方正楷体_GBK"/>
          <w:sz w:val="32"/>
          <w:szCs w:val="32"/>
          <w:lang w:val="en-US" w:eastAsia="zh-CN"/>
        </w:rPr>
        <w:t>文旅</w:t>
      </w:r>
      <w:r>
        <w:rPr>
          <w:rFonts w:hint="eastAsia" w:ascii="方正楷体_GBK" w:hAnsi="方正楷体_GBK" w:eastAsia="方正楷体_GBK" w:cs="方正楷体_GBK"/>
          <w:sz w:val="32"/>
          <w:szCs w:val="32"/>
        </w:rPr>
        <w:t>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配合部门：文旅办、</w:t>
      </w:r>
      <w:r>
        <w:rPr>
          <w:rFonts w:hint="eastAsia" w:ascii="方正楷体_GBK" w:hAnsi="方正楷体_GBK" w:eastAsia="方正楷体_GBK" w:cs="方正楷体_GBK"/>
          <w:sz w:val="32"/>
          <w:szCs w:val="32"/>
        </w:rPr>
        <w:t>财政局）</w:t>
      </w:r>
    </w:p>
    <w:p w14:paraId="2CC33D71">
      <w:pPr>
        <w:jc w:val="left"/>
        <w:rPr>
          <w:rFonts w:hint="eastAsia" w:ascii="Times New Roman" w:hAnsi="Times New Roman" w:eastAsia="方正仿宋_GBK" w:cs="Times New Roman"/>
          <w:sz w:val="32"/>
          <w:szCs w:val="32"/>
        </w:rPr>
      </w:pPr>
      <w:r>
        <w:rPr>
          <w:rFonts w:hint="eastAsia" w:ascii="方正黑体_GBK" w:hAnsi="方正黑体_GBK" w:eastAsia="方正黑体_GBK" w:cs="方正黑体_GBK"/>
          <w:sz w:val="32"/>
          <w:szCs w:val="32"/>
          <w:lang w:val="en-US" w:eastAsia="zh-CN"/>
        </w:rPr>
        <w:t>五、</w:t>
      </w:r>
      <w:r>
        <w:rPr>
          <w:rFonts w:hint="eastAsia" w:ascii="方正黑体_GBK" w:hAnsi="方正黑体_GBK" w:eastAsia="方正黑体_GBK" w:cs="方正黑体_GBK"/>
          <w:sz w:val="32"/>
          <w:szCs w:val="32"/>
        </w:rPr>
        <w:t>大力发展冰雪经济。</w:t>
      </w:r>
      <w:r>
        <w:rPr>
          <w:rFonts w:hint="eastAsia" w:ascii="Times New Roman" w:hAnsi="Times New Roman" w:eastAsia="方正仿宋_GBK" w:cs="Times New Roman"/>
          <w:sz w:val="32"/>
          <w:szCs w:val="32"/>
          <w:lang w:val="en-US" w:eastAsia="zh-CN"/>
        </w:rPr>
        <w:t>对新入库的冰雪装备企业，年度产值实现同比增长20%的，给予企业一次性奖励20万元。</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责任部门：</w:t>
      </w:r>
      <w:r>
        <w:rPr>
          <w:rFonts w:hint="eastAsia" w:ascii="方正楷体_GBK" w:hAnsi="方正楷体_GBK" w:eastAsia="方正楷体_GBK" w:cs="方正楷体_GBK"/>
          <w:sz w:val="32"/>
          <w:szCs w:val="32"/>
        </w:rPr>
        <w:t>商务</w:t>
      </w:r>
      <w:r>
        <w:rPr>
          <w:rFonts w:hint="eastAsia" w:ascii="方正楷体_GBK" w:hAnsi="方正楷体_GBK" w:eastAsia="方正楷体_GBK" w:cs="方正楷体_GBK"/>
          <w:sz w:val="32"/>
          <w:szCs w:val="32"/>
          <w:lang w:val="en-US" w:eastAsia="zh-CN"/>
        </w:rPr>
        <w:t>文旅</w:t>
      </w:r>
      <w:r>
        <w:rPr>
          <w:rFonts w:hint="eastAsia" w:ascii="方正楷体_GBK" w:hAnsi="方正楷体_GBK" w:eastAsia="方正楷体_GBK" w:cs="方正楷体_GBK"/>
          <w:sz w:val="32"/>
          <w:szCs w:val="32"/>
        </w:rPr>
        <w:t>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配合部门：文旅办、</w:t>
      </w:r>
      <w:r>
        <w:rPr>
          <w:rFonts w:hint="eastAsia" w:ascii="方正楷体_GBK" w:hAnsi="方正楷体_GBK" w:eastAsia="方正楷体_GBK" w:cs="方正楷体_GBK"/>
          <w:sz w:val="32"/>
          <w:szCs w:val="32"/>
        </w:rPr>
        <w:t>财政局）</w:t>
      </w:r>
    </w:p>
    <w:p w14:paraId="7AAC1816">
      <w:pPr>
        <w:jc w:val="left"/>
        <w:rPr>
          <w:rFonts w:hint="eastAsia" w:ascii="方正楷体_GBK" w:hAnsi="方正楷体_GBK" w:eastAsia="方正楷体_GBK" w:cs="方正楷体_GBK"/>
          <w:sz w:val="32"/>
          <w:szCs w:val="32"/>
        </w:rPr>
      </w:pPr>
      <w:r>
        <w:rPr>
          <w:rFonts w:hint="eastAsia" w:ascii="方正黑体_GBK" w:hAnsi="方正黑体_GBK" w:eastAsia="方正黑体_GBK" w:cs="方正黑体_GBK"/>
          <w:sz w:val="32"/>
          <w:szCs w:val="32"/>
          <w:lang w:val="en-US" w:eastAsia="zh-CN"/>
        </w:rPr>
        <w:t>六、积极发展银发经济</w:t>
      </w:r>
      <w:r>
        <w:rPr>
          <w:rFonts w:hint="eastAsia" w:ascii="方正黑体_GBK" w:hAnsi="方正黑体_GBK" w:eastAsia="方正黑体_GBK" w:cs="方正黑体_GBK"/>
          <w:sz w:val="32"/>
          <w:szCs w:val="32"/>
        </w:rPr>
        <w:t>。</w:t>
      </w:r>
      <w:r>
        <w:rPr>
          <w:rFonts w:hint="eastAsia" w:ascii="Times New Roman" w:hAnsi="Times New Roman" w:eastAsia="方正仿宋_GBK" w:cs="Times New Roman"/>
          <w:sz w:val="32"/>
          <w:szCs w:val="32"/>
          <w:lang w:val="en-US" w:eastAsia="zh-CN"/>
        </w:rPr>
        <w:t>注重引进和培育银发经济企业，对已入库并年产值首次突破1亿元、5亿元、10亿元的银发经济企业，分别给予10万元、20万元、30万元奖励</w:t>
      </w:r>
      <w:r>
        <w:rPr>
          <w:rFonts w:hint="eastAsia" w:ascii="Times New Roman" w:hAnsi="Times New Roman" w:eastAsia="方正仿宋_GBK" w:cs="Times New Roman"/>
          <w:sz w:val="32"/>
          <w:szCs w:val="32"/>
        </w:rPr>
        <w:t>。</w:t>
      </w:r>
      <w:r>
        <w:rPr>
          <w:rFonts w:hint="eastAsia" w:ascii="方正楷体_GBK" w:hAnsi="方正楷体_GBK" w:eastAsia="方正楷体_GBK" w:cs="方正楷体_GBK"/>
          <w:sz w:val="32"/>
          <w:szCs w:val="32"/>
        </w:rPr>
        <w:t>（责任</w:t>
      </w:r>
      <w:r>
        <w:rPr>
          <w:rFonts w:hint="eastAsia" w:ascii="方正楷体_GBK" w:hAnsi="方正楷体_GBK" w:eastAsia="方正楷体_GBK" w:cs="方正楷体_GBK"/>
          <w:sz w:val="32"/>
          <w:szCs w:val="32"/>
          <w:lang w:val="en-US" w:eastAsia="zh-CN"/>
        </w:rPr>
        <w:t>部门</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社会事业局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w:t>
      </w:r>
      <w:r>
        <w:rPr>
          <w:rFonts w:hint="eastAsia" w:ascii="方正楷体_GBK" w:hAnsi="方正楷体_GBK" w:eastAsia="方正楷体_GBK" w:cs="方正楷体_GBK"/>
          <w:sz w:val="32"/>
          <w:szCs w:val="32"/>
        </w:rPr>
        <w:t>财政局）</w:t>
      </w:r>
    </w:p>
    <w:p w14:paraId="2A9B28D9">
      <w:pPr>
        <w:jc w:val="left"/>
        <w:rPr>
          <w:rFonts w:hint="eastAsia" w:ascii="方正楷体_GBK" w:hAnsi="方正楷体_GBK" w:eastAsia="方正楷体_GBK" w:cs="方正楷体_GBK"/>
          <w:sz w:val="32"/>
          <w:szCs w:val="32"/>
        </w:rPr>
      </w:pPr>
      <w:r>
        <w:rPr>
          <w:rFonts w:hint="eastAsia" w:ascii="方正黑体_GBK" w:hAnsi="方正黑体_GBK" w:eastAsia="方正黑体_GBK" w:cs="方正黑体_GBK"/>
          <w:sz w:val="32"/>
          <w:szCs w:val="32"/>
          <w:lang w:val="en-US" w:eastAsia="zh-CN"/>
        </w:rPr>
        <w:t>七</w:t>
      </w:r>
      <w:r>
        <w:rPr>
          <w:rFonts w:hint="eastAsia" w:ascii="方正黑体_GBK" w:hAnsi="方正黑体_GBK" w:eastAsia="方正黑体_GBK" w:cs="方正黑体_GBK"/>
          <w:sz w:val="32"/>
          <w:szCs w:val="32"/>
        </w:rPr>
        <w:t>、支持物流产业集聚、发展。</w:t>
      </w:r>
      <w:r>
        <w:rPr>
          <w:rFonts w:hint="eastAsia" w:ascii="Times New Roman" w:hAnsi="Times New Roman" w:eastAsia="方正仿宋_GBK" w:cs="Times New Roman"/>
          <w:sz w:val="32"/>
          <w:szCs w:val="32"/>
        </w:rPr>
        <w:t>对于新入选全国物流50强、全国民营物流50强的企业，分别给予100万元、50万元的一次性奖励</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对首次通过国家标准认定的5A级、4A级、3A级物流企业，并且在新区入规入统的企业，给予一次性50万元、30万元、10万元的奖励。</w:t>
      </w:r>
      <w:r>
        <w:rPr>
          <w:rFonts w:hint="eastAsia" w:ascii="方正楷体_GBK" w:hAnsi="方正楷体_GBK" w:eastAsia="方正楷体_GBK" w:cs="方正楷体_GBK"/>
          <w:sz w:val="32"/>
          <w:szCs w:val="32"/>
        </w:rPr>
        <w:t>（责任</w:t>
      </w:r>
      <w:r>
        <w:rPr>
          <w:rFonts w:hint="eastAsia" w:ascii="方正楷体_GBK" w:hAnsi="方正楷体_GBK" w:eastAsia="方正楷体_GBK" w:cs="方正楷体_GBK"/>
          <w:sz w:val="32"/>
          <w:szCs w:val="32"/>
          <w:lang w:val="en-US" w:eastAsia="zh-CN"/>
        </w:rPr>
        <w:t>部门</w:t>
      </w:r>
      <w:r>
        <w:rPr>
          <w:rFonts w:hint="eastAsia" w:ascii="方正楷体_GBK" w:hAnsi="方正楷体_GBK" w:eastAsia="方正楷体_GBK" w:cs="方正楷体_GBK"/>
          <w:sz w:val="32"/>
          <w:szCs w:val="32"/>
        </w:rPr>
        <w:t>：商务</w:t>
      </w:r>
      <w:r>
        <w:rPr>
          <w:rFonts w:hint="eastAsia" w:ascii="方正楷体_GBK" w:hAnsi="方正楷体_GBK" w:eastAsia="方正楷体_GBK" w:cs="方正楷体_GBK"/>
          <w:sz w:val="32"/>
          <w:szCs w:val="32"/>
          <w:lang w:val="en-US" w:eastAsia="zh-CN"/>
        </w:rPr>
        <w:t>文旅</w:t>
      </w:r>
      <w:r>
        <w:rPr>
          <w:rFonts w:hint="eastAsia" w:ascii="方正楷体_GBK" w:hAnsi="方正楷体_GBK" w:eastAsia="方正楷体_GBK" w:cs="方正楷体_GBK"/>
          <w:sz w:val="32"/>
          <w:szCs w:val="32"/>
        </w:rPr>
        <w:t>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配合部门：物流办、</w:t>
      </w:r>
      <w:r>
        <w:rPr>
          <w:rFonts w:hint="eastAsia" w:ascii="方正楷体_GBK" w:hAnsi="方正楷体_GBK" w:eastAsia="方正楷体_GBK" w:cs="方正楷体_GBK"/>
          <w:sz w:val="32"/>
          <w:szCs w:val="32"/>
        </w:rPr>
        <w:t>财政局）</w:t>
      </w:r>
    </w:p>
    <w:p w14:paraId="18373391">
      <w:pPr>
        <w:jc w:val="left"/>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lang w:val="en-US" w:eastAsia="zh-CN"/>
        </w:rPr>
        <w:t>八</w:t>
      </w:r>
      <w:r>
        <w:rPr>
          <w:rFonts w:hint="eastAsia" w:ascii="方正黑体_GBK" w:hAnsi="方正黑体_GBK" w:eastAsia="方正黑体_GBK" w:cs="方正黑体_GBK"/>
          <w:sz w:val="32"/>
          <w:szCs w:val="32"/>
        </w:rPr>
        <w:t>、支持网络货运企业发展。</w:t>
      </w:r>
      <w:r>
        <w:rPr>
          <w:rFonts w:hint="eastAsia" w:ascii="Times New Roman" w:hAnsi="Times New Roman" w:eastAsia="方正仿宋_GBK" w:cs="Times New Roman"/>
          <w:sz w:val="32"/>
          <w:szCs w:val="32"/>
        </w:rPr>
        <w:t>对新落位新区、依法取得网络货运经营许可、接入交通监管平台、在新区依法缴纳税收的网络货运企业，依据具体</w:t>
      </w:r>
      <w:r>
        <w:rPr>
          <w:rFonts w:ascii="Times New Roman" w:hAnsi="Times New Roman" w:eastAsia="方正仿宋_GBK" w:cs="Times New Roman"/>
          <w:sz w:val="32"/>
          <w:szCs w:val="32"/>
        </w:rPr>
        <w:t>运行</w:t>
      </w:r>
      <w:r>
        <w:rPr>
          <w:rFonts w:hint="eastAsia" w:ascii="Times New Roman" w:hAnsi="Times New Roman" w:eastAsia="方正仿宋_GBK" w:cs="Times New Roman"/>
          <w:sz w:val="32"/>
          <w:szCs w:val="32"/>
        </w:rPr>
        <w:t>情况一次性给予不超过100万元奖励。</w:t>
      </w:r>
      <w:r>
        <w:rPr>
          <w:rFonts w:hint="eastAsia" w:ascii="方正楷体_GBK" w:hAnsi="方正楷体_GBK" w:eastAsia="方正楷体_GBK" w:cs="方正楷体_GBK"/>
          <w:sz w:val="32"/>
          <w:szCs w:val="32"/>
        </w:rPr>
        <w:t>（责任</w:t>
      </w:r>
      <w:r>
        <w:rPr>
          <w:rFonts w:hint="eastAsia" w:ascii="方正楷体_GBK" w:hAnsi="方正楷体_GBK" w:eastAsia="方正楷体_GBK" w:cs="方正楷体_GBK"/>
          <w:sz w:val="32"/>
          <w:szCs w:val="32"/>
          <w:lang w:val="en-US" w:eastAsia="zh-CN"/>
        </w:rPr>
        <w:t>部门</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北湖开发区，配合部门：物流办、</w:t>
      </w:r>
      <w:r>
        <w:rPr>
          <w:rFonts w:hint="eastAsia" w:ascii="方正楷体_GBK" w:hAnsi="方正楷体_GBK" w:eastAsia="方正楷体_GBK" w:cs="方正楷体_GBK"/>
          <w:sz w:val="32"/>
          <w:szCs w:val="32"/>
        </w:rPr>
        <w:t>财政局）</w:t>
      </w:r>
    </w:p>
    <w:p w14:paraId="12AD32F5">
      <w:pPr>
        <w:jc w:val="left"/>
        <w:rPr>
          <w:rFonts w:ascii="Times New Roman" w:hAnsi="Times New Roman" w:eastAsia="方正仿宋_GBK" w:cs="Times New Roman"/>
          <w:sz w:val="32"/>
          <w:szCs w:val="32"/>
        </w:rPr>
      </w:pPr>
      <w:r>
        <w:rPr>
          <w:rFonts w:ascii="方正黑体_GBK" w:hAnsi="方正黑体_GBK" w:eastAsia="方正黑体_GBK" w:cs="方正黑体_GBK"/>
          <w:sz w:val="32"/>
          <w:szCs w:val="32"/>
        </w:rPr>
        <w:t>九</w:t>
      </w:r>
      <w:r>
        <w:rPr>
          <w:rFonts w:hint="eastAsia" w:ascii="方正黑体_GBK" w:hAnsi="方正黑体_GBK" w:eastAsia="方正黑体_GBK" w:cs="方正黑体_GBK"/>
          <w:sz w:val="32"/>
          <w:szCs w:val="32"/>
        </w:rPr>
        <w:t>、加强冷链产业用地保障。</w:t>
      </w:r>
      <w:r>
        <w:rPr>
          <w:rFonts w:hint="eastAsia" w:ascii="Times New Roman" w:hAnsi="Times New Roman" w:eastAsia="方正仿宋_GBK" w:cs="Times New Roman"/>
          <w:sz w:val="32"/>
          <w:szCs w:val="32"/>
        </w:rPr>
        <w:t>对在符合规划、不改变用途的前提下，在自有工业用地上提高土地利用率和容积率新建、扩建冷冻冷藏库、分拨转运等冷链物流基础设施的，不再增收土地价款。</w:t>
      </w:r>
      <w:bookmarkStart w:id="0" w:name="_Hlk185927768"/>
      <w:r>
        <w:rPr>
          <w:rFonts w:hint="eastAsia" w:ascii="方正楷体_GBK" w:hAnsi="方正楷体_GBK" w:eastAsia="方正楷体_GBK" w:cs="方正楷体_GBK"/>
          <w:sz w:val="32"/>
          <w:szCs w:val="32"/>
        </w:rPr>
        <w:t>（责任</w:t>
      </w:r>
      <w:r>
        <w:rPr>
          <w:rFonts w:hint="eastAsia" w:ascii="方正楷体_GBK" w:hAnsi="方正楷体_GBK" w:eastAsia="方正楷体_GBK" w:cs="方正楷体_GBK"/>
          <w:sz w:val="32"/>
          <w:szCs w:val="32"/>
          <w:lang w:val="en-US" w:eastAsia="zh-CN"/>
        </w:rPr>
        <w:t>部门</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规自中心，配合部门：物流办</w:t>
      </w:r>
      <w:r>
        <w:rPr>
          <w:rFonts w:hint="eastAsia" w:ascii="方正楷体_GBK" w:hAnsi="方正楷体_GBK" w:eastAsia="方正楷体_GBK" w:cs="方正楷体_GBK"/>
          <w:sz w:val="32"/>
          <w:szCs w:val="32"/>
        </w:rPr>
        <w:t>）</w:t>
      </w:r>
    </w:p>
    <w:bookmarkEnd w:id="0"/>
    <w:p w14:paraId="12635536">
      <w:pPr>
        <w:jc w:val="left"/>
        <w:rPr>
          <w:rFonts w:ascii="Times New Roman" w:hAnsi="Times New Roman" w:eastAsia="方正仿宋_GBK" w:cs="Times New Roman"/>
          <w:sz w:val="32"/>
          <w:szCs w:val="32"/>
          <w:highlight w:val="yellow"/>
        </w:rPr>
      </w:pPr>
      <w:r>
        <w:rPr>
          <w:rFonts w:ascii="方正黑体_GBK" w:hAnsi="方正黑体_GBK" w:eastAsia="方正黑体_GBK" w:cs="方正黑体_GBK"/>
          <w:sz w:val="32"/>
          <w:szCs w:val="32"/>
        </w:rPr>
        <w:t>十</w:t>
      </w:r>
      <w:r>
        <w:rPr>
          <w:rFonts w:hint="eastAsia" w:ascii="方正黑体_GBK" w:hAnsi="方正黑体_GBK" w:eastAsia="方正黑体_GBK" w:cs="方正黑体_GBK"/>
          <w:sz w:val="32"/>
          <w:szCs w:val="32"/>
        </w:rPr>
        <w:t>、支持冷链物流企业盘活低效资产。</w:t>
      </w:r>
      <w:r>
        <w:rPr>
          <w:rFonts w:hint="eastAsia" w:ascii="Times New Roman" w:hAnsi="Times New Roman" w:eastAsia="方正仿宋_GBK" w:cs="Times New Roman"/>
          <w:sz w:val="32"/>
          <w:szCs w:val="32"/>
        </w:rPr>
        <w:t>冷链物流企业利用工业旧厂房、仓库和存量土地资源建设符合规划的冷链物流基础设施或提供冷链物流服务，涉及原划拨土地使用权转让和租赁的，经批准可采取协议方式办理土地有偿使用手续。</w:t>
      </w:r>
      <w:r>
        <w:rPr>
          <w:rFonts w:hint="eastAsia" w:ascii="方正楷体_GBK" w:hAnsi="方正楷体_GBK" w:eastAsia="方正楷体_GBK" w:cs="方正楷体_GBK"/>
          <w:sz w:val="32"/>
          <w:szCs w:val="32"/>
        </w:rPr>
        <w:t>（责任</w:t>
      </w:r>
      <w:r>
        <w:rPr>
          <w:rFonts w:hint="eastAsia" w:ascii="方正楷体_GBK" w:hAnsi="方正楷体_GBK" w:eastAsia="方正楷体_GBK" w:cs="方正楷体_GBK"/>
          <w:sz w:val="32"/>
          <w:szCs w:val="32"/>
          <w:lang w:val="en-US" w:eastAsia="zh-CN"/>
        </w:rPr>
        <w:t>部门</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规自中心，配合部门：物流办</w:t>
      </w:r>
      <w:r>
        <w:rPr>
          <w:rFonts w:hint="eastAsia" w:ascii="方正楷体_GBK" w:hAnsi="方正楷体_GBK" w:eastAsia="方正楷体_GBK" w:cs="方正楷体_GBK"/>
          <w:sz w:val="32"/>
          <w:szCs w:val="32"/>
        </w:rPr>
        <w:t>）</w:t>
      </w:r>
    </w:p>
    <w:p w14:paraId="5C494B35">
      <w:pPr>
        <w:jc w:val="left"/>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十</w:t>
      </w:r>
      <w:r>
        <w:rPr>
          <w:rFonts w:ascii="方正黑体_GBK" w:hAnsi="方正黑体_GBK" w:eastAsia="方正黑体_GBK" w:cs="方正黑体_GBK"/>
          <w:sz w:val="32"/>
          <w:szCs w:val="32"/>
        </w:rPr>
        <w:t>一</w:t>
      </w:r>
      <w:r>
        <w:rPr>
          <w:rFonts w:hint="eastAsia" w:ascii="方正黑体_GBK" w:hAnsi="方正黑体_GBK" w:eastAsia="方正黑体_GBK" w:cs="方正黑体_GBK"/>
          <w:sz w:val="32"/>
          <w:szCs w:val="32"/>
        </w:rPr>
        <w:t>、拓展冷链物流企业投融资渠道。</w:t>
      </w:r>
      <w:r>
        <w:rPr>
          <w:rFonts w:hint="eastAsia" w:ascii="Times New Roman" w:hAnsi="Times New Roman" w:eastAsia="方正仿宋_GBK" w:cs="Times New Roman"/>
          <w:sz w:val="32"/>
          <w:szCs w:val="32"/>
        </w:rPr>
        <w:t>支持冷链物流企业相关固定资产贷款和流动资金贷款需求，对符合要求的可</w:t>
      </w:r>
      <w:r>
        <w:rPr>
          <w:rFonts w:hint="eastAsia" w:ascii="Times New Roman" w:hAnsi="Times New Roman" w:eastAsia="方正仿宋_GBK" w:cs="Times New Roman"/>
          <w:sz w:val="32"/>
          <w:szCs w:val="32"/>
          <w:lang w:val="en-US" w:eastAsia="zh-CN"/>
        </w:rPr>
        <w:t>协助企业</w:t>
      </w:r>
      <w:r>
        <w:rPr>
          <w:rFonts w:hint="eastAsia" w:ascii="Times New Roman" w:hAnsi="Times New Roman" w:eastAsia="方正仿宋_GBK" w:cs="Times New Roman"/>
          <w:sz w:val="32"/>
          <w:szCs w:val="32"/>
        </w:rPr>
        <w:t>开通“绿色办贷”通道，打造“定制化”融资方案，贷款额度最高为项目总投资的80%，期限最高为15年。</w:t>
      </w:r>
      <w:bookmarkStart w:id="1" w:name="_GoBack"/>
      <w:r>
        <w:rPr>
          <w:rFonts w:hint="eastAsia" w:ascii="方正楷体_GBK" w:hAnsi="方正楷体_GBK" w:eastAsia="方正楷体_GBK" w:cs="方正楷体_GBK"/>
          <w:sz w:val="32"/>
          <w:szCs w:val="32"/>
        </w:rPr>
        <w:t>（责任</w:t>
      </w:r>
      <w:r>
        <w:rPr>
          <w:rFonts w:hint="eastAsia" w:ascii="方正楷体_GBK" w:hAnsi="方正楷体_GBK" w:eastAsia="方正楷体_GBK" w:cs="方正楷体_GBK"/>
          <w:sz w:val="32"/>
          <w:szCs w:val="32"/>
          <w:lang w:val="en-US" w:eastAsia="zh-CN"/>
        </w:rPr>
        <w:t>部门</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物流办，配合部门：</w:t>
      </w:r>
      <w:r>
        <w:rPr>
          <w:rFonts w:hint="eastAsia" w:ascii="方正楷体_GBK" w:hAnsi="方正楷体_GBK" w:eastAsia="方正楷体_GBK" w:cs="方正楷体_GBK"/>
          <w:sz w:val="32"/>
          <w:szCs w:val="32"/>
        </w:rPr>
        <w:t>财政局）</w:t>
      </w:r>
      <w:bookmarkEnd w:id="1"/>
    </w:p>
    <w:p w14:paraId="4B31FD91">
      <w:pPr>
        <w:jc w:val="left"/>
        <w:rPr>
          <w:rFonts w:ascii="Times New Roman" w:hAnsi="Times New Roman" w:eastAsia="方正仿宋_GBK" w:cs="Times New Roman"/>
          <w:sz w:val="32"/>
          <w:szCs w:val="32"/>
          <w:lang w:val="en-US" w:eastAsia="zh-CN"/>
        </w:rPr>
      </w:pPr>
    </w:p>
    <w:p w14:paraId="2F78BB3C">
      <w:pPr>
        <w:jc w:val="left"/>
        <w:rPr>
          <w:rFonts w:ascii="Times New Roman" w:hAnsi="Times New Roman" w:eastAsia="方正仿宋_GBK" w:cs="Times New Roman"/>
          <w:sz w:val="32"/>
          <w:szCs w:val="32"/>
          <w:highlight w:val="yellow"/>
          <w:lang w:val="en-US" w:eastAsia="zh-CN"/>
        </w:rPr>
      </w:pPr>
      <w:r>
        <w:rPr>
          <w:rFonts w:ascii="Times New Roman" w:hAnsi="Times New Roman" w:eastAsia="方正仿宋_GBK" w:cs="Times New Roman"/>
          <w:sz w:val="32"/>
          <w:szCs w:val="32"/>
          <w:lang w:val="en-US" w:eastAsia="zh-CN"/>
        </w:rPr>
        <w:t>以上措施自印发之日起试行，由相关责任部门负责制定具体实施细则，有效期至 2026 年 12 月 31 日，有明确期限的具体政策按其时限执行，国家、省市另有规定的从其规定。</w:t>
      </w:r>
    </w:p>
    <w:p w14:paraId="2B04EB75">
      <w:pPr>
        <w:rPr>
          <w:rFonts w:ascii="Times New Roman" w:hAnsi="Times New Roman" w:eastAsia="方正仿宋_GBK" w:cs="Times New Roman"/>
          <w:sz w:val="32"/>
          <w:szCs w:val="32"/>
          <w:lang w:val="en-US" w:eastAsia="zh-CN"/>
        </w:rPr>
      </w:pPr>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doNotUseIndentAsNumberingTabStop/>
    <w:compatSetting w:name="compatibilityMode" w:uri="http://schemas.microsoft.com/office/word" w:val="14"/>
  </w:compat>
  <w:rsids>
    <w:rsidRoot w:val="00000000"/>
    <w:rsid w:val="0A8979DD"/>
    <w:rsid w:val="0BEF3B66"/>
    <w:rsid w:val="77BF2477"/>
    <w:rsid w:val="DFF61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宋体" w:cs="宋体"/>
      <w:kern w:val="2"/>
      <w:sz w:val="21"/>
      <w:szCs w:val="22"/>
      <w:lang w:val="en-US" w:eastAsia="zh-CN" w:bidi="ar-SA"/>
    </w:rPr>
  </w:style>
  <w:style w:type="paragraph" w:styleId="2">
    <w:name w:val="heading 1"/>
    <w:basedOn w:val="1"/>
    <w:next w:val="1"/>
    <w:link w:val="21"/>
    <w:qFormat/>
    <w:uiPriority w:val="0"/>
    <w:pPr>
      <w:keepNext/>
      <w:keepLines/>
      <w:spacing w:before="480" w:after="80"/>
      <w:outlineLvl w:val="0"/>
    </w:pPr>
    <w:rPr>
      <w:rFonts w:ascii="Cambria" w:hAnsi="Cambria"/>
      <w:color w:val="376092"/>
      <w:sz w:val="48"/>
      <w:szCs w:val="48"/>
    </w:rPr>
  </w:style>
  <w:style w:type="paragraph" w:styleId="3">
    <w:name w:val="heading 2"/>
    <w:basedOn w:val="1"/>
    <w:next w:val="1"/>
    <w:link w:val="22"/>
    <w:qFormat/>
    <w:uiPriority w:val="0"/>
    <w:pPr>
      <w:keepNext/>
      <w:keepLines/>
      <w:spacing w:before="160" w:after="80"/>
      <w:outlineLvl w:val="1"/>
    </w:pPr>
    <w:rPr>
      <w:rFonts w:ascii="Cambria" w:hAnsi="Cambria"/>
      <w:color w:val="376092"/>
      <w:sz w:val="40"/>
      <w:szCs w:val="40"/>
    </w:rPr>
  </w:style>
  <w:style w:type="paragraph" w:styleId="4">
    <w:name w:val="heading 3"/>
    <w:basedOn w:val="1"/>
    <w:next w:val="1"/>
    <w:link w:val="23"/>
    <w:qFormat/>
    <w:uiPriority w:val="0"/>
    <w:pPr>
      <w:keepNext/>
      <w:keepLines/>
      <w:spacing w:before="160" w:after="80"/>
      <w:outlineLvl w:val="2"/>
    </w:pPr>
    <w:rPr>
      <w:rFonts w:ascii="Cambria" w:hAnsi="Cambria"/>
      <w:color w:val="376092"/>
      <w:sz w:val="32"/>
      <w:szCs w:val="32"/>
    </w:rPr>
  </w:style>
  <w:style w:type="paragraph" w:styleId="5">
    <w:name w:val="heading 4"/>
    <w:basedOn w:val="1"/>
    <w:next w:val="1"/>
    <w:link w:val="24"/>
    <w:qFormat/>
    <w:uiPriority w:val="0"/>
    <w:pPr>
      <w:keepNext/>
      <w:keepLines/>
      <w:spacing w:before="80" w:after="40"/>
      <w:outlineLvl w:val="3"/>
    </w:pPr>
    <w:rPr>
      <w:color w:val="376092"/>
      <w:sz w:val="28"/>
      <w:szCs w:val="28"/>
    </w:rPr>
  </w:style>
  <w:style w:type="paragraph" w:styleId="6">
    <w:name w:val="heading 5"/>
    <w:basedOn w:val="1"/>
    <w:next w:val="1"/>
    <w:link w:val="25"/>
    <w:qFormat/>
    <w:uiPriority w:val="0"/>
    <w:pPr>
      <w:keepNext/>
      <w:keepLines/>
      <w:spacing w:before="80" w:after="40"/>
      <w:outlineLvl w:val="4"/>
    </w:pPr>
    <w:rPr>
      <w:color w:val="376092"/>
      <w:sz w:val="24"/>
      <w:szCs w:val="24"/>
    </w:rPr>
  </w:style>
  <w:style w:type="paragraph" w:styleId="7">
    <w:name w:val="heading 6"/>
    <w:basedOn w:val="1"/>
    <w:next w:val="1"/>
    <w:link w:val="26"/>
    <w:qFormat/>
    <w:uiPriority w:val="0"/>
    <w:pPr>
      <w:keepNext/>
      <w:keepLines/>
      <w:spacing w:before="40"/>
      <w:outlineLvl w:val="5"/>
    </w:pPr>
    <w:rPr>
      <w:b/>
      <w:bCs/>
      <w:color w:val="376092"/>
    </w:rPr>
  </w:style>
  <w:style w:type="paragraph" w:styleId="8">
    <w:name w:val="heading 7"/>
    <w:basedOn w:val="1"/>
    <w:next w:val="1"/>
    <w:link w:val="27"/>
    <w:qFormat/>
    <w:uiPriority w:val="0"/>
    <w:pPr>
      <w:keepNext/>
      <w:keepLines/>
      <w:spacing w:before="40"/>
      <w:outlineLvl w:val="6"/>
    </w:pPr>
    <w:rPr>
      <w:b/>
      <w:bCs/>
      <w:color w:val="595959"/>
    </w:rPr>
  </w:style>
  <w:style w:type="paragraph" w:styleId="9">
    <w:name w:val="heading 8"/>
    <w:basedOn w:val="1"/>
    <w:next w:val="1"/>
    <w:link w:val="28"/>
    <w:qFormat/>
    <w:uiPriority w:val="0"/>
    <w:pPr>
      <w:keepNext/>
      <w:keepLines/>
      <w:outlineLvl w:val="7"/>
    </w:pPr>
    <w:rPr>
      <w:color w:val="595959"/>
    </w:rPr>
  </w:style>
  <w:style w:type="paragraph" w:styleId="10">
    <w:name w:val="heading 9"/>
    <w:basedOn w:val="1"/>
    <w:next w:val="1"/>
    <w:link w:val="29"/>
    <w:qFormat/>
    <w:uiPriority w:val="0"/>
    <w:pPr>
      <w:keepNext/>
      <w:keepLines/>
      <w:outlineLvl w:val="8"/>
    </w:pPr>
    <w:rPr>
      <w:color w:val="595959"/>
    </w:rPr>
  </w:style>
  <w:style w:type="character" w:default="1" w:styleId="19">
    <w:name w:val="Default Paragraph Font"/>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Body Text"/>
    <w:basedOn w:val="1"/>
    <w:next w:val="11"/>
    <w:qFormat/>
    <w:uiPriority w:val="0"/>
    <w:pPr>
      <w:widowControl w:val="0"/>
      <w:jc w:val="both"/>
    </w:pPr>
    <w:rPr>
      <w:rFonts w:ascii="宋体" w:hAnsi="宋体" w:eastAsia="宋体" w:cs="宋体"/>
      <w:sz w:val="32"/>
      <w:szCs w:val="32"/>
      <w:lang w:val="en-US" w:eastAsia="zh-CN" w:bidi="ar-SA"/>
    </w:rPr>
  </w:style>
  <w:style w:type="paragraph" w:styleId="13">
    <w:name w:val="footer"/>
    <w:basedOn w:val="1"/>
    <w:qFormat/>
    <w:uiPriority w:val="0"/>
    <w:pPr>
      <w:tabs>
        <w:tab w:val="center" w:pos="4153"/>
        <w:tab w:val="right" w:pos="8306"/>
      </w:tabs>
      <w:snapToGrid w:val="0"/>
      <w:spacing w:line="240" w:lineRule="atLeast"/>
      <w:jc w:val="left"/>
    </w:pPr>
    <w:rPr>
      <w:sz w:val="18"/>
      <w:szCs w:val="18"/>
    </w:rPr>
  </w:style>
  <w:style w:type="paragraph" w:styleId="14">
    <w:name w:val="header"/>
    <w:basedOn w:val="1"/>
    <w:qFormat/>
    <w:uiPriority w:val="0"/>
    <w:pPr>
      <w:tabs>
        <w:tab w:val="center" w:pos="4153"/>
        <w:tab w:val="right" w:pos="8306"/>
      </w:tabs>
      <w:snapToGrid w:val="0"/>
      <w:spacing w:line="240" w:lineRule="atLeast"/>
      <w:jc w:val="center"/>
    </w:pPr>
    <w:rPr>
      <w:sz w:val="18"/>
      <w:szCs w:val="18"/>
    </w:rPr>
  </w:style>
  <w:style w:type="paragraph" w:styleId="15">
    <w:name w:val="toc 1"/>
    <w:basedOn w:val="1"/>
    <w:next w:val="1"/>
    <w:qFormat/>
    <w:uiPriority w:val="0"/>
  </w:style>
  <w:style w:type="paragraph" w:styleId="16">
    <w:name w:val="Subtitle"/>
    <w:basedOn w:val="1"/>
    <w:next w:val="1"/>
    <w:qFormat/>
    <w:uiPriority w:val="0"/>
    <w:pPr>
      <w:spacing w:after="160"/>
      <w:jc w:val="center"/>
    </w:pPr>
    <w:rPr>
      <w:rFonts w:ascii="Cambria" w:hAnsi="Cambria"/>
      <w:color w:val="595959"/>
      <w:spacing w:val="15"/>
      <w:sz w:val="28"/>
      <w:szCs w:val="28"/>
    </w:rPr>
  </w:style>
  <w:style w:type="paragraph" w:styleId="17">
    <w:name w:val="Title"/>
    <w:basedOn w:val="1"/>
    <w:next w:val="1"/>
    <w:qFormat/>
    <w:uiPriority w:val="0"/>
    <w:pPr>
      <w:spacing w:after="80" w:line="240" w:lineRule="auto"/>
      <w:contextualSpacing/>
      <w:jc w:val="center"/>
    </w:pPr>
    <w:rPr>
      <w:rFonts w:ascii="Cambria" w:hAnsi="Cambria"/>
      <w:spacing w:val="-10"/>
      <w:kern w:val="28"/>
      <w:sz w:val="56"/>
      <w:szCs w:val="56"/>
    </w:rPr>
  </w:style>
  <w:style w:type="character" w:styleId="20">
    <w:name w:val="annotation reference"/>
    <w:basedOn w:val="19"/>
    <w:qFormat/>
    <w:uiPriority w:val="0"/>
    <w:rPr>
      <w:sz w:val="21"/>
      <w:szCs w:val="21"/>
    </w:rPr>
  </w:style>
  <w:style w:type="character" w:customStyle="1" w:styleId="21">
    <w:name w:val="heading 1 Char"/>
    <w:basedOn w:val="19"/>
    <w:link w:val="2"/>
    <w:qFormat/>
    <w:uiPriority w:val="0"/>
    <w:rPr>
      <w:rFonts w:ascii="Cambria" w:hAnsi="Cambria" w:eastAsia="宋体" w:cs="宋体"/>
      <w:color w:val="376092"/>
      <w:kern w:val="2"/>
      <w:sz w:val="48"/>
      <w:szCs w:val="48"/>
      <w:lang w:val="en-US" w:eastAsia="zh-CN" w:bidi="ar-SA"/>
    </w:rPr>
  </w:style>
  <w:style w:type="character" w:customStyle="1" w:styleId="22">
    <w:name w:val="heading 2 Char"/>
    <w:basedOn w:val="19"/>
    <w:link w:val="3"/>
    <w:qFormat/>
    <w:uiPriority w:val="0"/>
    <w:rPr>
      <w:rFonts w:ascii="Cambria" w:hAnsi="Cambria" w:eastAsia="宋体" w:cs="宋体"/>
      <w:color w:val="376092"/>
      <w:kern w:val="2"/>
      <w:sz w:val="40"/>
      <w:szCs w:val="40"/>
      <w:lang w:val="en-US" w:eastAsia="zh-CN" w:bidi="ar-SA"/>
    </w:rPr>
  </w:style>
  <w:style w:type="character" w:customStyle="1" w:styleId="23">
    <w:name w:val="heading 3 Char"/>
    <w:basedOn w:val="19"/>
    <w:link w:val="4"/>
    <w:qFormat/>
    <w:uiPriority w:val="0"/>
    <w:rPr>
      <w:rFonts w:ascii="Cambria" w:hAnsi="Cambria" w:eastAsia="宋体" w:cs="宋体"/>
      <w:color w:val="376092"/>
      <w:kern w:val="2"/>
      <w:sz w:val="32"/>
      <w:szCs w:val="32"/>
      <w:lang w:val="en-US" w:eastAsia="zh-CN" w:bidi="ar-SA"/>
    </w:rPr>
  </w:style>
  <w:style w:type="character" w:customStyle="1" w:styleId="24">
    <w:name w:val="heading 4 Char"/>
    <w:basedOn w:val="19"/>
    <w:link w:val="5"/>
    <w:qFormat/>
    <w:uiPriority w:val="0"/>
    <w:rPr>
      <w:rFonts w:ascii="Calibri" w:hAnsi="Calibri" w:eastAsia="宋体" w:cs="宋体"/>
      <w:color w:val="376092"/>
      <w:kern w:val="2"/>
      <w:sz w:val="28"/>
      <w:szCs w:val="28"/>
      <w:lang w:val="en-US" w:eastAsia="zh-CN" w:bidi="ar-SA"/>
    </w:rPr>
  </w:style>
  <w:style w:type="character" w:customStyle="1" w:styleId="25">
    <w:name w:val="heading 5 Char"/>
    <w:basedOn w:val="19"/>
    <w:link w:val="6"/>
    <w:qFormat/>
    <w:uiPriority w:val="0"/>
    <w:rPr>
      <w:rFonts w:ascii="Calibri" w:hAnsi="Calibri" w:eastAsia="宋体" w:cs="宋体"/>
      <w:color w:val="376092"/>
      <w:kern w:val="2"/>
      <w:sz w:val="24"/>
      <w:szCs w:val="24"/>
      <w:lang w:val="en-US" w:eastAsia="zh-CN" w:bidi="ar-SA"/>
    </w:rPr>
  </w:style>
  <w:style w:type="character" w:customStyle="1" w:styleId="26">
    <w:name w:val="heading 6 Char"/>
    <w:basedOn w:val="19"/>
    <w:link w:val="7"/>
    <w:qFormat/>
    <w:uiPriority w:val="0"/>
    <w:rPr>
      <w:rFonts w:ascii="Calibri" w:hAnsi="Calibri" w:eastAsia="宋体" w:cs="宋体"/>
      <w:b/>
      <w:bCs/>
      <w:color w:val="376092"/>
      <w:kern w:val="2"/>
      <w:sz w:val="21"/>
      <w:szCs w:val="22"/>
      <w:lang w:val="en-US" w:eastAsia="zh-CN" w:bidi="ar-SA"/>
    </w:rPr>
  </w:style>
  <w:style w:type="character" w:customStyle="1" w:styleId="27">
    <w:name w:val="heading 7 Char"/>
    <w:basedOn w:val="19"/>
    <w:link w:val="8"/>
    <w:qFormat/>
    <w:uiPriority w:val="0"/>
    <w:rPr>
      <w:rFonts w:ascii="Calibri" w:hAnsi="Calibri" w:eastAsia="宋体" w:cs="宋体"/>
      <w:b/>
      <w:bCs/>
      <w:color w:val="595959"/>
      <w:kern w:val="2"/>
      <w:sz w:val="21"/>
      <w:szCs w:val="22"/>
      <w:lang w:val="en-US" w:eastAsia="zh-CN" w:bidi="ar-SA"/>
    </w:rPr>
  </w:style>
  <w:style w:type="character" w:customStyle="1" w:styleId="28">
    <w:name w:val="heading 8 Char"/>
    <w:basedOn w:val="19"/>
    <w:link w:val="9"/>
    <w:qFormat/>
    <w:uiPriority w:val="0"/>
    <w:rPr>
      <w:rFonts w:ascii="Calibri" w:hAnsi="Calibri" w:eastAsia="宋体" w:cs="宋体"/>
      <w:color w:val="595959"/>
      <w:kern w:val="2"/>
      <w:sz w:val="21"/>
      <w:szCs w:val="22"/>
      <w:lang w:val="en-US" w:eastAsia="zh-CN" w:bidi="ar-SA"/>
    </w:rPr>
  </w:style>
  <w:style w:type="character" w:customStyle="1" w:styleId="29">
    <w:name w:val="heading 9 Char"/>
    <w:basedOn w:val="19"/>
    <w:link w:val="10"/>
    <w:qFormat/>
    <w:uiPriority w:val="0"/>
    <w:rPr>
      <w:rFonts w:ascii="Calibri" w:hAnsi="Calibri" w:eastAsia="宋体" w:cs="宋体"/>
      <w:color w:val="595959"/>
      <w:kern w:val="2"/>
      <w:sz w:val="21"/>
      <w:szCs w:val="22"/>
      <w:lang w:val="en-US" w:eastAsia="zh-CN" w:bidi="ar-SA"/>
    </w:rPr>
  </w:style>
  <w:style w:type="paragraph" w:styleId="30">
    <w:name w:val="Quote"/>
    <w:basedOn w:val="1"/>
    <w:next w:val="1"/>
    <w:qFormat/>
    <w:uiPriority w:val="0"/>
    <w:pPr>
      <w:spacing w:before="160" w:after="160"/>
      <w:jc w:val="center"/>
    </w:pPr>
    <w:rPr>
      <w:i/>
      <w:iCs/>
      <w:color w:val="3F3F3F"/>
    </w:rPr>
  </w:style>
  <w:style w:type="paragraph" w:styleId="31">
    <w:name w:val="List Paragraph"/>
    <w:basedOn w:val="1"/>
    <w:qFormat/>
    <w:uiPriority w:val="0"/>
    <w:pPr>
      <w:ind w:left="720"/>
      <w:contextualSpacing/>
    </w:pPr>
  </w:style>
  <w:style w:type="character" w:customStyle="1" w:styleId="32">
    <w:name w:val="明显强调1"/>
    <w:basedOn w:val="19"/>
    <w:qFormat/>
    <w:uiPriority w:val="0"/>
    <w:rPr>
      <w:i/>
      <w:iCs/>
      <w:color w:val="376092"/>
    </w:rPr>
  </w:style>
  <w:style w:type="paragraph" w:styleId="33">
    <w:name w:val="Intense Quote"/>
    <w:basedOn w:val="1"/>
    <w:next w:val="1"/>
    <w:qFormat/>
    <w:uiPriority w:val="0"/>
    <w:pPr>
      <w:pBdr>
        <w:top w:val="single" w:color="366091" w:sz="4" w:space="10"/>
        <w:bottom w:val="single" w:color="366091" w:sz="4" w:space="10"/>
      </w:pBdr>
      <w:spacing w:before="360" w:after="360"/>
      <w:ind w:left="864" w:right="864"/>
      <w:jc w:val="center"/>
    </w:pPr>
    <w:rPr>
      <w:i/>
      <w:iCs/>
      <w:color w:val="376092"/>
    </w:rPr>
  </w:style>
  <w:style w:type="character" w:customStyle="1" w:styleId="34">
    <w:name w:val="明显参考1"/>
    <w:basedOn w:val="19"/>
    <w:qFormat/>
    <w:uiPriority w:val="0"/>
    <w:rPr>
      <w:b/>
      <w:bCs/>
      <w:smallCaps/>
      <w:color w:val="376092"/>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The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Theme">
      <a:majorFont>
        <a:latin typeface=""/>
        <a:ea typeface=""/>
        <a:cs typeface=""/>
      </a:majorFont>
      <a:minorFont>
        <a:latin typeface=""/>
        <a:ea typeface=""/>
        <a:cs typefac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1"/>
        </a:gradFill>
      </a:fillStyleLst>
      <a:lnStyleLst>
        <a:ln w="9525" cap="flat" cmpd="sng">
          <a:solidFill>
            <a:schemeClr val="phClr">
              <a:shade val="95000"/>
              <a:satMod val="105000"/>
            </a:schemeClr>
          </a:solidFill>
          <a:prstDash val="solid"/>
          <a:round/>
        </a:ln>
        <a:ln w="25400" cap="flat" cmpd="sng">
          <a:solidFill>
            <a:schemeClr val="phClr"/>
          </a:solidFill>
          <a:prstDash val="solid"/>
          <a:round/>
        </a:ln>
        <a:ln w="38100" cap="flat" cmpd="sng">
          <a:solidFill>
            <a:schemeClr val="phClr"/>
          </a:solidFill>
          <a:prstDash val="solid"/>
          <a:round/>
        </a:ln>
      </a:lnStyleLst>
      <a:effectStyleLst>
        <a:effectStyle>
          <a:effectLst>
            <a:outerShdw blurRad="40000" dist="20000" dir="5400000" rotWithShape="0">
              <a:srgbClr val="000000">
                <a:alpha val="37647"/>
              </a:srgbClr>
            </a:outerShdw>
          </a:effectLst>
        </a:effectStyle>
        <a:effectStyle>
          <a:effectLst>
            <a:outerShdw blurRad="40000" dist="23000" dir="5400000" rotWithShape="0">
              <a:srgbClr val="000000">
                <a:alpha val="34509"/>
              </a:srgbClr>
            </a:outerShdw>
          </a:effectLst>
        </a:effectStyle>
        <a:effectStyle>
          <a:effectLst>
            <a:outerShdw blurRad="40000" dist="23000" dir="5400000" rotWithShape="0">
              <a:srgbClr val="000000">
                <a:alpha val="34509"/>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100000"/>
          </a:path>
          <a:tileRect r="-100000" b="-100000"/>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3</Pages>
  <Words>1457</Words>
  <Characters>1497</Characters>
  <Lines>0</Lines>
  <Paragraphs>19</Paragraphs>
  <TotalTime>1</TotalTime>
  <ScaleCrop>false</ScaleCrop>
  <LinksUpToDate>false</LinksUpToDate>
  <CharactersWithSpaces>1504</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2024-12-03T01:14:00Z</dcterms:created>
  <dc:creator>Lenovo</dc:creator>
  <cp:lastModifiedBy>牙满</cp:lastModifiedBy>
  <cp:lastPrinted>2025-01-05T19:08:00Z</cp:lastPrinted>
  <dcterms:modified xsi:type="dcterms:W3CDTF">2025-02-06T03:02:02Z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F2FE621F32924668B3E646FF55E5776C</vt:lpwstr>
  </property>
  <property fmtid="{D5CDD505-2E9C-101B-9397-08002B2CF9AE}" pid="4" name="KSOTemplateDocerSaveRecord">
    <vt:lpwstr>eyJoZGlkIjoiMDgxNmM1ZGEwYzlkYzU1NThiYTI2MDdhMTVlN2FhMGYiLCJ1c2VySWQiOiIzMzc1NDc3NjUifQ==</vt:lpwstr>
  </property>
  <property fmtid="{D5CDD505-2E9C-101B-9397-08002B2CF9AE}" pid="5" name="KSOSaveFontToCloudKey">
    <vt:lpwstr>206221253_cloud</vt:lpwstr>
  </property>
</Properties>
</file>