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hint="eastAsia" w:eastAsia="方正小标宋_GBK"/>
          <w:sz w:val="44"/>
          <w:szCs w:val="44"/>
        </w:rPr>
      </w:pPr>
      <w:r>
        <w:rPr>
          <w:rFonts w:hint="eastAsia" w:eastAsia="方正小标宋_GBK"/>
          <w:sz w:val="44"/>
          <w:szCs w:val="44"/>
        </w:rPr>
        <w:t>长春新区支持新能源产业</w:t>
      </w:r>
    </w:p>
    <w:p>
      <w:pPr>
        <w:ind w:firstLine="0" w:firstLineChars="0"/>
        <w:jc w:val="center"/>
        <w:rPr>
          <w:rFonts w:eastAsia="方正小标宋_GBK"/>
          <w:sz w:val="44"/>
          <w:szCs w:val="44"/>
        </w:rPr>
      </w:pPr>
      <w:r>
        <w:rPr>
          <w:rFonts w:hint="eastAsia" w:eastAsia="方正小标宋_GBK"/>
          <w:sz w:val="44"/>
          <w:szCs w:val="44"/>
        </w:rPr>
        <w:t>高质量发展</w:t>
      </w:r>
      <w:bookmarkStart w:id="2" w:name="_GoBack"/>
      <w:bookmarkEnd w:id="2"/>
      <w:r>
        <w:rPr>
          <w:rFonts w:hint="eastAsia" w:eastAsia="方正小标宋_GBK"/>
          <w:sz w:val="44"/>
          <w:szCs w:val="44"/>
        </w:rPr>
        <w:t>若干措施</w:t>
      </w:r>
    </w:p>
    <w:p>
      <w:pPr>
        <w:ind w:firstLine="0" w:firstLineChars="0"/>
        <w:jc w:val="center"/>
        <w:rPr>
          <w:rFonts w:eastAsia="方正小标宋_GBK"/>
          <w:sz w:val="44"/>
          <w:szCs w:val="44"/>
        </w:rPr>
      </w:pPr>
    </w:p>
    <w:p>
      <w:pPr>
        <w:kinsoku w:val="0"/>
        <w:autoSpaceDE w:val="0"/>
        <w:autoSpaceDN w:val="0"/>
        <w:adjustRightInd w:val="0"/>
        <w:spacing w:before="3"/>
        <w:ind w:right="288" w:firstLine="640"/>
        <w:textAlignment w:val="baseline"/>
        <w:rPr>
          <w:rFonts w:cs="Times New Roman"/>
          <w:color w:val="000000"/>
          <w:kern w:val="0"/>
          <w:szCs w:val="32"/>
        </w:rPr>
      </w:pPr>
      <w:r>
        <w:rPr>
          <w:rFonts w:hint="eastAsia"/>
        </w:rPr>
        <w:t>为加快推动新能源产业发展建设，抢占新能源产业发展赛道，把握氢能产业发展的关键窗口期与机遇期，加快培育和壮大长春新区新能源产业规模与质量，</w:t>
      </w:r>
      <w:r>
        <w:rPr>
          <w:rFonts w:cs="Times New Roman"/>
          <w:spacing w:val="-6"/>
          <w:szCs w:val="32"/>
        </w:rPr>
        <w:t>在《长春新区推动经济持续向好若干措施》基础上，出台《长春新区支持</w:t>
      </w:r>
      <w:r>
        <w:rPr>
          <w:rFonts w:hint="eastAsia" w:cs="Times New Roman"/>
          <w:spacing w:val="-6"/>
          <w:szCs w:val="32"/>
        </w:rPr>
        <w:t>新能源</w:t>
      </w:r>
      <w:r>
        <w:rPr>
          <w:rFonts w:cs="Times New Roman"/>
          <w:spacing w:val="-6"/>
          <w:szCs w:val="32"/>
        </w:rPr>
        <w:t>产业高质量发展若干措施》，形成</w:t>
      </w:r>
      <w:r>
        <w:rPr>
          <w:rFonts w:hint="eastAsia" w:cs="Times New Roman"/>
          <w:spacing w:val="-6"/>
          <w:szCs w:val="32"/>
        </w:rPr>
        <w:t>“</w:t>
      </w:r>
      <w:r>
        <w:rPr>
          <w:rFonts w:cs="Times New Roman"/>
          <w:spacing w:val="-6"/>
          <w:szCs w:val="32"/>
        </w:rPr>
        <w:t>1+1</w:t>
      </w:r>
      <w:r>
        <w:rPr>
          <w:rFonts w:hint="eastAsia" w:cs="Times New Roman"/>
          <w:spacing w:val="-6"/>
          <w:szCs w:val="32"/>
        </w:rPr>
        <w:t>”</w:t>
      </w:r>
      <w:r>
        <w:rPr>
          <w:rFonts w:cs="Times New Roman"/>
          <w:spacing w:val="-6"/>
          <w:szCs w:val="32"/>
        </w:rPr>
        <w:t>支持体系</w:t>
      </w:r>
      <w:r>
        <w:rPr>
          <w:rFonts w:hint="eastAsia"/>
        </w:rPr>
        <w:t>。重点支持</w:t>
      </w:r>
      <w:r>
        <w:t>领域包括</w:t>
      </w:r>
      <w:r>
        <w:rPr>
          <w:rFonts w:hint="eastAsia"/>
        </w:rPr>
        <w:t>：</w:t>
      </w:r>
      <w:r>
        <w:rPr>
          <w:rFonts w:cs="Times New Roman"/>
          <w:color w:val="000000"/>
          <w:kern w:val="0"/>
          <w:szCs w:val="32"/>
        </w:rPr>
        <w:t>从事</w:t>
      </w:r>
      <w:r>
        <w:rPr>
          <w:rFonts w:hint="eastAsia" w:cs="Times New Roman"/>
          <w:color w:val="000000"/>
          <w:kern w:val="0"/>
          <w:szCs w:val="32"/>
        </w:rPr>
        <w:t>新能源</w:t>
      </w:r>
      <w:r>
        <w:rPr>
          <w:rFonts w:cs="Times New Roman"/>
          <w:color w:val="000000"/>
          <w:kern w:val="0"/>
          <w:szCs w:val="32"/>
        </w:rPr>
        <w:t>相关领域</w:t>
      </w:r>
      <w:r>
        <w:rPr>
          <w:rFonts w:cs="Times New Roman"/>
          <w:color w:val="000000"/>
          <w:w w:val="99"/>
          <w:kern w:val="0"/>
          <w:szCs w:val="32"/>
        </w:rPr>
        <w:t>研</w:t>
      </w:r>
      <w:r>
        <w:rPr>
          <w:rFonts w:cs="Times New Roman"/>
          <w:color w:val="000000"/>
          <w:kern w:val="0"/>
          <w:szCs w:val="32"/>
        </w:rPr>
        <w:t>发、生产、服务等生产经营活动，具有独立法人资格的企事业</w:t>
      </w:r>
      <w:r>
        <w:rPr>
          <w:rFonts w:cs="Times New Roman"/>
          <w:color w:val="000000"/>
          <w:w w:val="99"/>
          <w:kern w:val="0"/>
          <w:szCs w:val="32"/>
        </w:rPr>
        <w:t>单</w:t>
      </w:r>
      <w:r>
        <w:rPr>
          <w:rFonts w:cs="Times New Roman"/>
          <w:color w:val="000000"/>
          <w:kern w:val="0"/>
          <w:szCs w:val="32"/>
        </w:rPr>
        <w:t>位、社会团体、行业组织，以及符合</w:t>
      </w:r>
      <w:r>
        <w:rPr>
          <w:rFonts w:hint="eastAsia" w:cs="Times New Roman"/>
          <w:color w:val="000000"/>
          <w:kern w:val="0"/>
          <w:szCs w:val="32"/>
        </w:rPr>
        <w:t>长春</w:t>
      </w:r>
      <w:r>
        <w:rPr>
          <w:rFonts w:cs="Times New Roman"/>
          <w:color w:val="000000"/>
          <w:kern w:val="0"/>
          <w:szCs w:val="32"/>
        </w:rPr>
        <w:t>新区</w:t>
      </w:r>
      <w:r>
        <w:rPr>
          <w:rFonts w:hint="eastAsia" w:cs="Times New Roman"/>
          <w:color w:val="000000"/>
          <w:kern w:val="0"/>
          <w:szCs w:val="32"/>
        </w:rPr>
        <w:t>新能源</w:t>
      </w:r>
      <w:r>
        <w:rPr>
          <w:rFonts w:cs="Times New Roman"/>
          <w:color w:val="000000"/>
          <w:kern w:val="0"/>
          <w:szCs w:val="32"/>
        </w:rPr>
        <w:t>产业</w:t>
      </w:r>
      <w:r>
        <w:rPr>
          <w:rFonts w:hint="eastAsia" w:cs="Times New Roman"/>
          <w:color w:val="000000"/>
          <w:kern w:val="0"/>
          <w:szCs w:val="32"/>
        </w:rPr>
        <w:t>链</w:t>
      </w:r>
      <w:r>
        <w:rPr>
          <w:rFonts w:cs="Times New Roman"/>
          <w:color w:val="000000"/>
          <w:kern w:val="0"/>
          <w:szCs w:val="32"/>
        </w:rPr>
        <w:t>发展或提供支撑的其他对象。</w:t>
      </w:r>
    </w:p>
    <w:p>
      <w:pPr>
        <w:ind w:firstLine="643"/>
      </w:pPr>
      <w:r>
        <w:rPr>
          <w:rFonts w:hint="eastAsia" w:ascii="方正黑体_GBK" w:hAnsi="方正黑体_GBK" w:eastAsia="方正黑体_GBK" w:cs="方正黑体_GBK"/>
          <w:b w:val="0"/>
          <w:bCs w:val="0"/>
          <w:color w:val="000000"/>
          <w:szCs w:val="32"/>
          <w:shd w:val="clear" w:color="auto" w:fill="FFFFFF"/>
        </w:rPr>
        <w:t>一、支持氢基绿色能源要素保障。</w:t>
      </w:r>
      <w:bookmarkStart w:id="0" w:name="_Hlk185804457"/>
      <w:r>
        <w:rPr>
          <w:rFonts w:hint="eastAsia"/>
        </w:rPr>
        <w:t>鼓励并支持氢基绿色能源项目在新区落位，并对氢基绿色能源项目所需配套设施建设以及新能源建设指标申报等方面给予支持。</w:t>
      </w:r>
      <w:bookmarkStart w:id="1" w:name="_Hlk187058016"/>
      <w:r>
        <w:rPr>
          <w:rFonts w:hint="eastAsia"/>
        </w:rPr>
        <w:t>（责任部门：发改局、住建局、住建局、规划局）</w:t>
      </w:r>
    </w:p>
    <w:bookmarkEnd w:id="0"/>
    <w:bookmarkEnd w:id="1"/>
    <w:p>
      <w:pPr>
        <w:ind w:firstLine="643"/>
      </w:pPr>
      <w:r>
        <w:rPr>
          <w:rFonts w:hint="eastAsia" w:ascii="方正黑体_GBK" w:hAnsi="方正黑体_GBK" w:eastAsia="方正黑体_GBK" w:cs="方正黑体_GBK"/>
          <w:b w:val="0"/>
          <w:bCs w:val="0"/>
          <w:color w:val="000000"/>
          <w:szCs w:val="32"/>
          <w:shd w:val="clear" w:color="auto" w:fill="FFFFFF"/>
        </w:rPr>
        <w:t>二、支持加氢站建设运营。</w:t>
      </w:r>
      <w:r>
        <w:rPr>
          <w:rFonts w:hint="eastAsia"/>
        </w:rPr>
        <w:t>鼓励在新区范围内新建和改（扩）建符合区域整体规划的加氢站。同时，对新区范围内纳入全省整体规划并建成运行的固定式加氢站，依据其压缩机12小时额定工作能力，长春新区按照省市支持资金总额的10</w:t>
      </w:r>
      <w:r>
        <w:t>%</w:t>
      </w:r>
      <w:r>
        <w:rPr>
          <w:rFonts w:hint="eastAsia"/>
        </w:rPr>
        <w:t>给予补贴，单个加氢站补贴金额最高不超过100万元。（责任部门：工信局、发改局、财政局）</w:t>
      </w:r>
    </w:p>
    <w:p>
      <w:pPr>
        <w:ind w:firstLine="643"/>
      </w:pPr>
      <w:r>
        <w:rPr>
          <w:rFonts w:hint="eastAsia" w:ascii="方正黑体_GBK" w:hAnsi="方正黑体_GBK" w:eastAsia="方正黑体_GBK" w:cs="方正黑体_GBK"/>
          <w:b w:val="0"/>
          <w:bCs w:val="0"/>
          <w:color w:val="000000"/>
          <w:szCs w:val="32"/>
          <w:shd w:val="clear" w:color="auto" w:fill="FFFFFF"/>
        </w:rPr>
        <w:t>三、推进储能规模化发展。</w:t>
      </w:r>
      <w:r>
        <w:rPr>
          <w:rFonts w:hint="eastAsia"/>
        </w:rPr>
        <w:t>支持长时储能技术和装备示范应用。充分发挥新型储能作用，鼓励光伏发电市场化并网项目按一定比例配套4小时以上储能装置。在配电侧领域，在电动汽车集中充电站中规划配套长时储能装置，支持企业建设电动汽车充电站长时储能示范项目。支持光伏等新能源与储能设施融合发展，对社会资本投资建设装机容量1兆瓦及以上的新型储能电站，自投运次月起按放电量给予投资主体不超过0.15元/千瓦时奖励，连续奖励不超过2年，累计最高100万元。（责任部门：工信局、发改局、财政局）</w:t>
      </w:r>
    </w:p>
    <w:p>
      <w:pPr>
        <w:ind w:firstLine="643"/>
      </w:pPr>
      <w:r>
        <w:rPr>
          <w:rFonts w:hint="eastAsia" w:ascii="方正黑体_GBK" w:hAnsi="方正黑体_GBK" w:eastAsia="方正黑体_GBK" w:cs="方正黑体_GBK"/>
          <w:b w:val="0"/>
          <w:bCs w:val="0"/>
          <w:color w:val="000000"/>
          <w:szCs w:val="32"/>
          <w:shd w:val="clear" w:color="auto" w:fill="FFFFFF"/>
        </w:rPr>
        <w:t>四、支持氢能车辆推广运营。</w:t>
      </w:r>
      <w:r>
        <w:rPr>
          <w:rFonts w:hint="eastAsia"/>
        </w:rPr>
        <w:t>以在新区公共领域，涵盖城市公交、旅游客运、城市物流配送、环卫作业以及机场用车等范畴为重点，推动氢燃料电池汽车示范应用。对纳入并完成长春新区燃料电池汽车示范应用项目的整车制造企业、车辆运营企业以及核心零部件企业，按照一定标准分别予以奖励。（责任部门：工信局、财政局）</w:t>
      </w:r>
    </w:p>
    <w:p>
      <w:pPr>
        <w:ind w:firstLine="643"/>
      </w:pPr>
      <w:r>
        <w:rPr>
          <w:rFonts w:hint="eastAsia" w:ascii="方正黑体_GBK" w:hAnsi="方正黑体_GBK" w:eastAsia="方正黑体_GBK" w:cs="方正黑体_GBK"/>
          <w:b w:val="0"/>
          <w:bCs w:val="0"/>
          <w:color w:val="000000"/>
          <w:szCs w:val="32"/>
          <w:shd w:val="clear" w:color="auto" w:fill="FFFFFF"/>
        </w:rPr>
        <w:t>五、加强新能源示范作用。</w:t>
      </w:r>
      <w:r>
        <w:rPr>
          <w:rFonts w:hint="eastAsia"/>
        </w:rPr>
        <w:t>推动氢能、分布式光伏、储能在发电、热电联供、工业车辆等领域示范，促进技术示范应用与推广模式创新。对经评审择优确定并发布的重点示范项目，按照新型基础设施建设、绿色低碳发展、技术装备应用、重点应用场景示范等相关奖励政策给予示范项目相应的资金支持。（责任部门：发改局、工信局、财政局）</w:t>
      </w:r>
    </w:p>
    <w:p>
      <w:pPr>
        <w:ind w:firstLine="643"/>
      </w:pPr>
      <w:r>
        <w:rPr>
          <w:rFonts w:hint="eastAsia" w:ascii="方正黑体_GBK" w:hAnsi="方正黑体_GBK" w:eastAsia="方正黑体_GBK" w:cs="方正黑体_GBK"/>
          <w:b w:val="0"/>
          <w:bCs w:val="0"/>
          <w:color w:val="000000"/>
          <w:szCs w:val="32"/>
          <w:shd w:val="clear" w:color="auto" w:fill="FFFFFF"/>
        </w:rPr>
        <w:t>六、推广应用新型储能技术。</w:t>
      </w:r>
      <w:r>
        <w:rPr>
          <w:rFonts w:hint="eastAsia"/>
        </w:rPr>
        <w:t>加快锂离子电池、钠离子电池、固态电池、液流电池、飞轮等新型储能技术研发和应用示范。鼓励数据中心、5G基站、充电设施、工商业园区等积极配置用户侧储能系统，对纳入国家新型储能试点的项目，给予100万元的奖励。（责任部门：发改局、财务局）</w:t>
      </w:r>
    </w:p>
    <w:p>
      <w:pPr>
        <w:ind w:firstLine="643"/>
      </w:pPr>
      <w:r>
        <w:rPr>
          <w:rFonts w:hint="eastAsia" w:ascii="方正黑体_GBK" w:hAnsi="方正黑体_GBK" w:eastAsia="方正黑体_GBK" w:cs="方正黑体_GBK"/>
          <w:b w:val="0"/>
          <w:bCs w:val="0"/>
          <w:color w:val="000000"/>
          <w:szCs w:val="32"/>
          <w:shd w:val="clear" w:color="auto" w:fill="FFFFFF"/>
        </w:rPr>
        <w:t>七、支持废旧动力电池循环利用。</w:t>
      </w:r>
      <w:r>
        <w:rPr>
          <w:rFonts w:hint="eastAsia"/>
        </w:rPr>
        <w:t>鼓励废旧动力电池梯次利用、再生利用项目建设，对新能源汽车废旧动力蓄电池、废旧储能电池高价值综合利用示范项目，按省市级资助资金总额的10%给予不超过100万元配套资助。（责任部门：商务局、财务局）</w:t>
      </w:r>
    </w:p>
    <w:p>
      <w:pPr>
        <w:ind w:firstLine="643"/>
      </w:pPr>
      <w:r>
        <w:rPr>
          <w:rFonts w:hint="eastAsia" w:ascii="方正黑体_GBK" w:hAnsi="方正黑体_GBK" w:eastAsia="方正黑体_GBK" w:cs="方正黑体_GBK"/>
          <w:b w:val="0"/>
          <w:bCs w:val="0"/>
          <w:color w:val="000000"/>
          <w:szCs w:val="32"/>
          <w:shd w:val="clear" w:color="auto" w:fill="FFFFFF"/>
        </w:rPr>
        <w:t>八、加强知识产权和标准体系建设。</w:t>
      </w:r>
      <w:r>
        <w:rPr>
          <w:rFonts w:hint="eastAsia"/>
        </w:rPr>
        <w:t>鼓励企业、高等院校、科研机构开展新能源产业高价值专利培育布局，支持企业积极主导参与新能源产业国际标准、国家标准、行业标准、省地方标准、市技术标准、市团体标准、企业产品标准等的制定、修订项目。对知识产权、标准体系建设方面成效显著的单位，按新实施知识产权、品牌、标准化战略相关政策给予不超过60万元支持。（责任部门：科技局、工信局、财政局）</w:t>
      </w:r>
    </w:p>
    <w:p>
      <w:pPr>
        <w:ind w:firstLine="643"/>
      </w:pPr>
      <w:r>
        <w:rPr>
          <w:rFonts w:hint="eastAsia" w:ascii="方正黑体_GBK" w:hAnsi="方正黑体_GBK" w:eastAsia="方正黑体_GBK" w:cs="方正黑体_GBK"/>
          <w:b w:val="0"/>
          <w:bCs w:val="0"/>
          <w:color w:val="000000"/>
          <w:szCs w:val="32"/>
          <w:shd w:val="clear" w:color="auto" w:fill="FFFFFF"/>
        </w:rPr>
        <w:t>九、支持新能源装备制造产业园建设。</w:t>
      </w:r>
      <w:r>
        <w:rPr>
          <w:rFonts w:hint="eastAsia"/>
        </w:rPr>
        <w:t>对新区范围内建设新能源装备制造产业园区，引入数量达50家以上且总产值达到30亿元以上的园区建设和运营主体，新区将给予一次性</w:t>
      </w:r>
      <w:r>
        <w:t>1</w:t>
      </w:r>
      <w:r>
        <w:rPr>
          <w:rFonts w:hint="eastAsia"/>
        </w:rPr>
        <w:t>00万元运营支持。（责任部门：工信局、财政局）</w:t>
      </w:r>
    </w:p>
    <w:p>
      <w:pPr>
        <w:ind w:firstLine="643"/>
      </w:pPr>
      <w:r>
        <w:rPr>
          <w:rFonts w:hint="eastAsia" w:ascii="方正黑体_GBK" w:hAnsi="方正黑体_GBK" w:eastAsia="方正黑体_GBK" w:cs="方正黑体_GBK"/>
          <w:b w:val="0"/>
          <w:bCs w:val="0"/>
          <w:color w:val="000000"/>
          <w:szCs w:val="32"/>
          <w:shd w:val="clear" w:color="auto" w:fill="FFFFFF"/>
        </w:rPr>
        <w:t>十、推进绿能产业园区建设。</w:t>
      </w:r>
      <w:r>
        <w:rPr>
          <w:rFonts w:hint="eastAsia"/>
        </w:rPr>
        <w:t>鼓励企业利用氢能、分布式光伏、新型储能装备等先进技术建设增量配电网和氢基绿能产业园区，吸引用电大户企业落户园区，提升新能源消纳水平。（责任部门：发改局、工信局、规划局、住建局）</w:t>
      </w:r>
    </w:p>
    <w:p>
      <w:pPr>
        <w:ind w:firstLine="643"/>
      </w:pPr>
      <w:r>
        <w:rPr>
          <w:rFonts w:hint="eastAsia" w:ascii="方正黑体_GBK" w:hAnsi="方正黑体_GBK" w:eastAsia="方正黑体_GBK" w:cs="方正黑体_GBK"/>
          <w:b w:val="0"/>
          <w:bCs w:val="0"/>
          <w:color w:val="000000"/>
          <w:szCs w:val="32"/>
          <w:shd w:val="clear" w:color="auto" w:fill="FFFFFF"/>
        </w:rPr>
        <w:t>十一、加快虚拟电厂建设。</w:t>
      </w:r>
      <w:r>
        <w:rPr>
          <w:rFonts w:hint="eastAsia"/>
        </w:rPr>
        <w:t>鼓励资源聚合商建设资源聚合平台并接入电网调控，对符合一定条件且并网投运的资源聚合平台，按照项目投资额的20%给予不超过100万元资助。（责任部门：工信局、规划局、住建局、财政局）</w:t>
      </w:r>
    </w:p>
    <w:p>
      <w:pPr>
        <w:ind w:firstLine="640"/>
        <w:rPr>
          <w:rFonts w:ascii="方正黑体_GBK" w:hAnsi="方正黑体_GBK" w:eastAsia="方正黑体_GBK" w:cs="方正黑体_GBK"/>
          <w:kern w:val="0"/>
          <w:szCs w:val="32"/>
        </w:rPr>
      </w:pPr>
      <w:r>
        <w:rPr>
          <w:rFonts w:hint="eastAsia" w:ascii="方正黑体_GBK" w:hAnsi="方正黑体_GBK" w:eastAsia="方正黑体_GBK" w:cs="方正黑体_GBK"/>
          <w:kern w:val="0"/>
          <w:szCs w:val="32"/>
        </w:rPr>
        <w:t xml:space="preserve"> </w:t>
      </w:r>
    </w:p>
    <w:p>
      <w:pPr>
        <w:ind w:firstLine="640"/>
      </w:pPr>
      <w:r>
        <w:rPr>
          <w:rFonts w:hint="eastAsia"/>
        </w:rPr>
        <w:t>为确保政策公平公正实施，企业务必保证提交的申请材料真实、有效，一旦查出存在弄虚作假骗取补贴的行为，新区管委会将全额追回已发放的奖励资金，同时依法依规追究相关责任。此外，获得奖励的企业需承诺，自获奖之日起5年内在长春新区稳定运营装备制造产业，若违反该约定，须退还相应额度的奖励资金。</w:t>
      </w:r>
    </w:p>
    <w:p>
      <w:pPr>
        <w:ind w:firstLine="640"/>
      </w:pPr>
      <w:r>
        <w:rPr>
          <w:rFonts w:hint="eastAsia"/>
        </w:rPr>
        <w:t>以上措施自印发之日起试行，由相关责任部门负责制定具体实施细则，有效期至2026年12月31日，有明确期限的具体政策按其时限执行，国家、省市另有规定的从其规定。</w:t>
      </w:r>
    </w:p>
    <w:sectPr>
      <w:footerReference r:id="rId5" w:type="default"/>
      <w:pgSz w:w="11906" w:h="16838"/>
      <w:pgMar w:top="2098" w:right="1417" w:bottom="1984" w:left="141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Droid Sans Fallbac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Droid Sans Fallback">
    <w:panose1 w:val="020B0502000000000001"/>
    <w:charset w:val="86"/>
    <w:family w:val="auto"/>
    <w:pitch w:val="default"/>
    <w:sig w:usb0="910002FF" w:usb1="2BDFFCFB" w:usb2="00000036" w:usb3="00000000" w:csb0="203F01FF" w:csb1="D7FF0000"/>
  </w:font>
  <w:font w:name="Lucida Sans">
    <w:altName w:val="DejaVu Sans"/>
    <w:panose1 w:val="00000000000000000000"/>
    <w:charset w:val="00"/>
    <w:family w:val="auto"/>
    <w:pitch w:val="default"/>
    <w:sig w:usb0="00000000" w:usb1="00000000" w:usb2="00000000" w:usb3="00000000" w:csb0="2000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Arial">
    <w:altName w:val="Times New Roman"/>
    <w:panose1 w:val="020B0604020202020204"/>
    <w:charset w:val="00"/>
    <w:family w:val="swiss"/>
    <w:pitch w:val="default"/>
    <w:sig w:usb0="00000000" w:usb1="00000000" w:usb2="00000009" w:usb3="00000000" w:csb0="000001F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5658360"/>
    </w:sdtPr>
    <w:sdtContent>
      <w:p>
        <w:pPr>
          <w:pStyle w:val="8"/>
          <w:ind w:firstLine="360"/>
          <w:jc w:val="center"/>
        </w:pPr>
        <w:r>
          <w:fldChar w:fldCharType="begin"/>
        </w:r>
        <w:r>
          <w:instrText xml:space="preserve">PAGE   \* MERGEFORMAT</w:instrText>
        </w:r>
        <w:r>
          <w:fldChar w:fldCharType="separate"/>
        </w:r>
        <w:r>
          <w:rPr>
            <w:lang w:val="zh-CN"/>
          </w:rPr>
          <w:t>2</w:t>
        </w:r>
        <w:r>
          <w:fldChar w:fldCharType="end"/>
        </w:r>
      </w:p>
    </w:sdtContent>
  </w:sdt>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60"/>
  <w:drawingGridVerticalSpacing w:val="156"/>
  <w:noPunctuationKerning w:val="1"/>
  <w:characterSpacingControl w:val="compressPunctuation"/>
  <w:footnotePr>
    <w:footnote w:id="0"/>
    <w:footnote w:id="1"/>
  </w:footnotePr>
  <w:endnotePr>
    <w:endnote w:id="0"/>
    <w:endnote w:id="1"/>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0F5"/>
    <w:rsid w:val="003D063F"/>
    <w:rsid w:val="0070402D"/>
    <w:rsid w:val="00FB40F5"/>
    <w:rsid w:val="39F8F990"/>
    <w:rsid w:val="BFDF6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方正仿宋_GBK" w:cs="宋体"/>
      <w:kern w:val="2"/>
      <w:sz w:val="32"/>
      <w:szCs w:val="24"/>
      <w:lang w:val="en-US" w:eastAsia="zh-CN" w:bidi="ar-SA"/>
    </w:rPr>
  </w:style>
  <w:style w:type="paragraph" w:styleId="2">
    <w:name w:val="heading 1"/>
    <w:basedOn w:val="1"/>
    <w:next w:val="1"/>
    <w:link w:val="12"/>
    <w:qFormat/>
    <w:uiPriority w:val="9"/>
    <w:pPr>
      <w:keepNext/>
      <w:keepLines/>
      <w:ind w:firstLine="0" w:firstLineChars="0"/>
      <w:jc w:val="center"/>
      <w:outlineLvl w:val="0"/>
    </w:pPr>
    <w:rPr>
      <w:rFonts w:eastAsia="方正小标宋_GBK" w:cs="Arial"/>
      <w:kern w:val="44"/>
      <w:sz w:val="44"/>
    </w:rPr>
  </w:style>
  <w:style w:type="paragraph" w:styleId="3">
    <w:name w:val="heading 2"/>
    <w:basedOn w:val="1"/>
    <w:next w:val="1"/>
    <w:link w:val="13"/>
    <w:semiHidden/>
    <w:unhideWhenUsed/>
    <w:qFormat/>
    <w:uiPriority w:val="9"/>
    <w:pPr>
      <w:jc w:val="left"/>
      <w:outlineLvl w:val="1"/>
    </w:pPr>
    <w:rPr>
      <w:rFonts w:eastAsia="方正黑体_GBK" w:cs="Times New Roman"/>
    </w:rPr>
  </w:style>
  <w:style w:type="paragraph" w:styleId="4">
    <w:name w:val="heading 3"/>
    <w:basedOn w:val="1"/>
    <w:next w:val="1"/>
    <w:link w:val="14"/>
    <w:semiHidden/>
    <w:unhideWhenUsed/>
    <w:qFormat/>
    <w:uiPriority w:val="9"/>
    <w:pPr>
      <w:keepNext/>
      <w:keepLines/>
      <w:jc w:val="left"/>
      <w:outlineLvl w:val="2"/>
    </w:pPr>
    <w:rPr>
      <w:rFonts w:eastAsia="方正楷体_GBK" w:cs="Times New Roman"/>
      <w:szCs w:val="22"/>
    </w:rPr>
  </w:style>
  <w:style w:type="paragraph" w:styleId="5">
    <w:name w:val="heading 4"/>
    <w:basedOn w:val="1"/>
    <w:next w:val="1"/>
    <w:link w:val="15"/>
    <w:semiHidden/>
    <w:unhideWhenUsed/>
    <w:qFormat/>
    <w:uiPriority w:val="9"/>
    <w:pPr>
      <w:keepNext/>
      <w:keepLines/>
      <w:outlineLvl w:val="3"/>
    </w:pPr>
    <w:rPr>
      <w:rFonts w:ascii="方正仿宋_GBK" w:hAnsi="方正仿宋_GBK"/>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6">
    <w:name w:val="Normal Indent"/>
    <w:basedOn w:val="1"/>
    <w:qFormat/>
    <w:uiPriority w:val="0"/>
  </w:style>
  <w:style w:type="paragraph" w:styleId="7">
    <w:name w:val="Body Text"/>
    <w:basedOn w:val="1"/>
    <w:next w:val="6"/>
    <w:qFormat/>
    <w:uiPriority w:val="0"/>
    <w:rPr>
      <w:rFonts w:ascii="宋体" w:hAnsi="宋体" w:eastAsia="宋体"/>
      <w:szCs w:val="32"/>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qFormat/>
    <w:uiPriority w:val="0"/>
    <w:pPr>
      <w:tabs>
        <w:tab w:val="center" w:pos="4153"/>
        <w:tab w:val="right" w:pos="8306"/>
      </w:tabs>
      <w:snapToGrid w:val="0"/>
      <w:spacing w:line="240" w:lineRule="atLeast"/>
      <w:jc w:val="center"/>
    </w:pPr>
    <w:rPr>
      <w:sz w:val="18"/>
      <w:szCs w:val="18"/>
    </w:rPr>
  </w:style>
  <w:style w:type="character" w:customStyle="1" w:styleId="12">
    <w:name w:val="标题 1 字符"/>
    <w:basedOn w:val="11"/>
    <w:link w:val="2"/>
    <w:uiPriority w:val="0"/>
    <w:rPr>
      <w:rFonts w:ascii="Times New Roman" w:hAnsi="Times New Roman" w:eastAsia="方正小标宋_GBK" w:cs="Arial"/>
      <w:kern w:val="44"/>
      <w:sz w:val="44"/>
      <w:szCs w:val="24"/>
      <w:lang w:val="en-US" w:eastAsia="zh-CN" w:bidi="ar-SA"/>
    </w:rPr>
  </w:style>
  <w:style w:type="character" w:customStyle="1" w:styleId="13">
    <w:name w:val="标题 2 字符"/>
    <w:basedOn w:val="11"/>
    <w:link w:val="3"/>
    <w:uiPriority w:val="0"/>
    <w:rPr>
      <w:rFonts w:ascii="Times New Roman" w:hAnsi="Times New Roman" w:eastAsia="方正黑体_GBK" w:cs="Times New Roman"/>
      <w:kern w:val="2"/>
      <w:sz w:val="32"/>
      <w:szCs w:val="24"/>
      <w:lang w:val="en-US" w:eastAsia="zh-CN" w:bidi="ar-SA"/>
    </w:rPr>
  </w:style>
  <w:style w:type="character" w:customStyle="1" w:styleId="14">
    <w:name w:val="标题 3 字符"/>
    <w:basedOn w:val="11"/>
    <w:link w:val="4"/>
    <w:uiPriority w:val="0"/>
    <w:rPr>
      <w:rFonts w:ascii="Times New Roman" w:hAnsi="Times New Roman" w:eastAsia="方正楷体_GBK" w:cs="Times New Roman"/>
      <w:kern w:val="2"/>
      <w:sz w:val="32"/>
      <w:szCs w:val="22"/>
      <w:lang w:val="en-US" w:eastAsia="zh-CN" w:bidi="ar-SA"/>
    </w:rPr>
  </w:style>
  <w:style w:type="character" w:customStyle="1" w:styleId="15">
    <w:name w:val="标题 4 字符"/>
    <w:basedOn w:val="11"/>
    <w:link w:val="5"/>
    <w:uiPriority w:val="0"/>
    <w:rPr>
      <w:rFonts w:ascii="方正仿宋_GBK" w:hAnsi="方正仿宋_GBK" w:eastAsia="方正仿宋_GBK" w:cs="宋体"/>
      <w:kern w:val="2"/>
      <w:sz w:val="32"/>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rgbClr val="000000"/>
      </a:dk1>
      <a:lt1>
        <a:srgbClr val="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
        <a:ea typeface=""/>
        <a:cs typeface=""/>
      </a:majorFont>
      <a:minorFont>
        <a:latin typeface=""/>
        <a:ea typeface=""/>
        <a:cs typeface=""/>
      </a:minorFont>
    </a:fontScheme>
    <a:fmtScheme name="WPS">
      <a:fillStyleLst>
        <a:solidFill>
          <a:schemeClr val="phClr"/>
        </a:solidFill>
        <a:gradFill rotWithShape="1">
          <a:gsLst>
            <a:gs pos="0">
              <a:schemeClr val="phClr">
                <a:lumOff val="17500"/>
              </a:schemeClr>
            </a:gs>
            <a:gs pos="100000">
              <a:schemeClr val="phClr"/>
            </a:gs>
          </a:gsLst>
          <a:lin ang="2700000" scaled="1"/>
        </a:gradFill>
        <a:gradFill rotWithShape="1">
          <a:gsLst>
            <a:gs pos="0">
              <a:schemeClr val="phClr">
                <a:hueOff val="-2520000"/>
              </a:schemeClr>
            </a:gs>
            <a:gs pos="100000">
              <a:schemeClr val="phClr"/>
            </a:gs>
          </a:gsLst>
          <a:lin ang="2700000" scaled="1"/>
        </a:gradFill>
      </a:fillStyleLst>
      <a:lnStyleLst>
        <a:ln w="12700" cap="flat" cmpd="sng">
          <a:solidFill>
            <a:schemeClr val="phClr"/>
          </a:solidFill>
          <a:prstDash val="solid"/>
          <a:miter/>
        </a:ln>
        <a:ln w="12700" cap="flat" cmpd="sng">
          <a:solidFill>
            <a:schemeClr val="phClr"/>
          </a:solidFill>
          <a:prstDash val="solid"/>
          <a:miter/>
        </a:ln>
        <a:ln w="12700" cap="flat" cmpd="sng">
          <a:gradFill rotWithShape="1">
            <a:gsLst>
              <a:gs pos="0">
                <a:schemeClr val="phClr">
                  <a:hueOff val="-4200000"/>
                </a:schemeClr>
              </a:gs>
              <a:gs pos="100000">
                <a:schemeClr val="phClr"/>
              </a:gs>
            </a:gsLst>
            <a:lin ang="2700000" scaled="1"/>
          </a:gradFill>
          <a:prstDash val="solid"/>
          <a:miter/>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294</Words>
  <Characters>1680</Characters>
  <Lines>14</Lines>
  <Paragraphs>3</Paragraphs>
  <TotalTime>2</TotalTime>
  <ScaleCrop>false</ScaleCrop>
  <LinksUpToDate>false</LinksUpToDate>
  <CharactersWithSpaces>1971</CharactersWithSpaces>
  <Application>WPS Office_11.1.0.11664_F1E327BC-269C-435d-A152-05C5408002CA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2025-01-06T17:37:00Z</dcterms:created>
  <dc:creator>86182</dc:creator>
  <cp:lastModifiedBy>张镝</cp:lastModifiedBy>
  <cp:lastPrinted>2025-01-06T16:37:00Z</cp:lastPrinted>
  <dcterms:modified xsi:type="dcterms:W3CDTF">2025-02-05T14:22:56Z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2052-11.1.0.11664</vt:lpwstr>
  </property>
  <property fmtid="{D5CDD505-2E9C-101B-9397-08002B2CF9AE}" pid="3" name="ICV">
    <vt:lpwstr>13FB2FE19F244314959F9EA0A85435E4_13</vt:lpwstr>
  </property>
  <property fmtid="{D5CDD505-2E9C-101B-9397-08002B2CF9AE}" pid="4" name="KSOTemplateDocerSaveRecord">
    <vt:lpwstr>eyJoZGlkIjoiMDgxNmM1ZGEwYzlkYzU1NThiYTI2MDdhMTVlN2FhMGYiLCJ1c2VySWQiOiIzMzc1NDc3NjUifQ==</vt:lpwstr>
  </property>
</Properties>
</file>