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1812F">
      <w:pPr>
        <w:shd w:val="clear"/>
        <w:ind w:left="0"/>
        <w:rPr>
          <w:rFonts w:hint="default" w:ascii="Times New Roman" w:hAnsi="Times New Roman" w:cs="Times New Roman"/>
        </w:rPr>
      </w:pPr>
    </w:p>
    <w:p w14:paraId="099E2E10">
      <w:pPr>
        <w:shd w:val="clear"/>
        <w:ind w:lef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长春新区支持新材料产业</w:t>
      </w:r>
    </w:p>
    <w:p w14:paraId="3C422C15">
      <w:pPr>
        <w:shd w:val="clear"/>
        <w:ind w:lef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高质量发展若干措施</w:t>
      </w:r>
    </w:p>
    <w:p w14:paraId="600BACEF">
      <w:pPr>
        <w:pStyle w:val="5"/>
        <w:shd w:val="clear"/>
        <w:rPr>
          <w:rFonts w:hint="default" w:ascii="Times New Roman" w:hAnsi="Times New Roman" w:cs="Times New Roman"/>
          <w:lang w:eastAsia="zh-CN"/>
        </w:rPr>
      </w:pPr>
    </w:p>
    <w:p w14:paraId="505E4981">
      <w:pPr>
        <w:pStyle w:val="5"/>
        <w:shd w:val="clear"/>
        <w:ind w:left="0" w:firstLine="676" w:firstLineChars="200"/>
        <w:jc w:val="both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lang w:eastAsia="zh-CN"/>
        </w:rPr>
        <w:t>为进一步推动长春新区新材料产业规模化、集聚化、高端化发展，加快打造新材料产业基地，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在《长春新区推动经济持续向好若干措施》基础上，出台《长春新区支持</w:t>
      </w:r>
      <w:r>
        <w:rPr>
          <w:rFonts w:hint="default" w:ascii="Times New Roman" w:hAnsi="Times New Roman" w:cs="Times New Roman"/>
        </w:rPr>
        <w:t>新材料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产业高质量发展若干措施》，形成“1+1”政策支持体系</w:t>
      </w:r>
      <w:r>
        <w:rPr>
          <w:rFonts w:hint="default" w:ascii="Times New Roman" w:hAnsi="Times New Roman" w:eastAsia="方正仿宋_GBK" w:cs="Times New Roman"/>
          <w:spacing w:val="1"/>
          <w:sz w:val="32"/>
          <w:szCs w:val="32"/>
          <w:shd w:val="clear" w:color="auto" w:fill="auto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重点支持领域：先进高分子材料（特种工程塑料和特种橡胶、特种分离膜等）、新型无机非金属材料（电光陶瓷、微晶玻璃等）、高性能复合材料（碳纤维、玄武岩纤维等）、</w:t>
      </w:r>
      <w:bookmarkStart w:id="0" w:name="OLE_LINK1"/>
      <w:bookmarkStart w:id="1" w:name="OLE_LINK2"/>
      <w:r>
        <w:rPr>
          <w:rFonts w:hint="default" w:ascii="Times New Roman" w:hAnsi="Times New Roman" w:eastAsia="方正仿宋_GBK" w:cs="Times New Roman"/>
          <w:sz w:val="32"/>
          <w:szCs w:val="32"/>
        </w:rPr>
        <w:t>特种金属功能材料</w:t>
      </w:r>
      <w:bookmarkEnd w:id="0"/>
      <w:bookmarkEnd w:id="1"/>
      <w:r>
        <w:rPr>
          <w:rFonts w:hint="default" w:ascii="Times New Roman" w:hAnsi="Times New Roman" w:eastAsia="方正仿宋_GBK" w:cs="Times New Roman"/>
          <w:sz w:val="32"/>
          <w:szCs w:val="32"/>
        </w:rPr>
        <w:t>（稀贵金属、新型半导体材料）、前沿新材料（石墨烯、超导材料、生物材料及制品等）等领域。</w:t>
      </w:r>
    </w:p>
    <w:p w14:paraId="17BBA37F">
      <w:pPr>
        <w:pStyle w:val="8"/>
        <w:shd w:val="clear"/>
        <w:rPr>
          <w:rFonts w:hint="default" w:ascii="Times New Roman" w:hAnsi="Times New Roman" w:cs="Times New Roman"/>
          <w:b/>
          <w:sz w:val="21"/>
          <w:szCs w:val="21"/>
        </w:rPr>
      </w:pPr>
      <w:r>
        <w:rPr>
          <w:rStyle w:val="11"/>
          <w:rFonts w:hint="default" w:ascii="Times New Roman" w:hAnsi="Times New Roman" w:eastAsia="方正黑体_GBK" w:cs="Times New Roman"/>
          <w:b w:val="0"/>
          <w:bCs w:val="0"/>
          <w:color w:val="000000"/>
        </w:rPr>
        <w:t>一、支持企业核心技术攻关</w:t>
      </w:r>
      <w:r>
        <w:rPr>
          <w:rFonts w:hint="default" w:ascii="Times New Roman" w:hAnsi="Times New Roman" w:cs="Times New Roman"/>
        </w:rPr>
        <w:t>。对化工新材料领域承担国家重大战略任务或突破“卡脖子”关键技术首次实现国产化替代的企业，持续投产达效一年后，最高给与100万元的一次性奖励。</w:t>
      </w:r>
      <w:r>
        <w:rPr>
          <w:rFonts w:hint="eastAsia" w:ascii="方正楷体_GBK" w:hAnsi="方正楷体_GBK" w:eastAsia="方正楷体_GBK" w:cs="方正楷体_GBK"/>
        </w:rPr>
        <w:t>（责任部门：材料办、财政局）</w:t>
      </w:r>
    </w:p>
    <w:p w14:paraId="38921E86">
      <w:pPr>
        <w:pStyle w:val="8"/>
        <w:shd w:val="clear"/>
        <w:rPr>
          <w:rStyle w:val="11"/>
          <w:rFonts w:hint="default" w:ascii="Times New Roman" w:hAnsi="Times New Roman" w:eastAsia="方正黑体_GBK" w:cs="Times New Roman"/>
          <w:bCs w:val="0"/>
          <w:color w:val="000000"/>
        </w:rPr>
      </w:pPr>
      <w:r>
        <w:rPr>
          <w:rStyle w:val="11"/>
          <w:rFonts w:hint="default" w:ascii="Times New Roman" w:hAnsi="Times New Roman" w:eastAsia="方正黑体_GBK" w:cs="Times New Roman"/>
          <w:b w:val="0"/>
          <w:bCs w:val="0"/>
          <w:color w:val="000000"/>
        </w:rPr>
        <w:t>二、支持企业绿色低碳发展。</w:t>
      </w:r>
      <w:r>
        <w:rPr>
          <w:rFonts w:hint="default" w:ascii="Times New Roman" w:hAnsi="Times New Roman" w:cs="Times New Roman"/>
        </w:rPr>
        <w:t>支持化工新材料企业创建绿色制造体系，对列入国家级绿色工厂、绿色供应链管理示范名单的企业，分别给予一次性30万元、20万元奖励；对列入</w:t>
      </w:r>
      <w:bookmarkStart w:id="2" w:name="OLE_LINK4"/>
      <w:bookmarkStart w:id="3" w:name="OLE_LINK3"/>
      <w:r>
        <w:rPr>
          <w:rFonts w:hint="default" w:ascii="Times New Roman" w:hAnsi="Times New Roman" w:cs="Times New Roman"/>
        </w:rPr>
        <w:t>省级</w:t>
      </w:r>
      <w:bookmarkStart w:id="4" w:name="OLE_LINK5"/>
      <w:bookmarkStart w:id="5" w:name="OLE_LINK6"/>
      <w:r>
        <w:rPr>
          <w:rFonts w:hint="default" w:ascii="Times New Roman" w:hAnsi="Times New Roman" w:cs="Times New Roman"/>
        </w:rPr>
        <w:t>绿色制造体系示范</w:t>
      </w:r>
      <w:bookmarkEnd w:id="2"/>
      <w:bookmarkEnd w:id="3"/>
      <w:bookmarkEnd w:id="4"/>
      <w:bookmarkEnd w:id="5"/>
      <w:r>
        <w:rPr>
          <w:rFonts w:hint="default" w:ascii="Times New Roman" w:hAnsi="Times New Roman" w:cs="Times New Roman"/>
        </w:rPr>
        <w:t>名单的企业，给予一次性10万元奖励。</w:t>
      </w:r>
      <w:r>
        <w:rPr>
          <w:rFonts w:hint="default" w:ascii="方正楷体_GBK" w:hAnsi="方正楷体_GBK" w:eastAsia="方正楷体_GBK" w:cs="方正楷体_GBK"/>
        </w:rPr>
        <w:t>（责任部门：材料办、工信局、财政局）</w:t>
      </w:r>
    </w:p>
    <w:p w14:paraId="7686D8CA">
      <w:pPr>
        <w:pStyle w:val="8"/>
        <w:shd w:val="clear"/>
        <w:rPr>
          <w:rStyle w:val="11"/>
          <w:rFonts w:hint="default" w:ascii="Times New Roman" w:hAnsi="Times New Roman" w:eastAsia="方正黑体_GBK" w:cs="Times New Roman"/>
          <w:bCs w:val="0"/>
          <w:color w:val="000000"/>
        </w:rPr>
      </w:pPr>
      <w:r>
        <w:rPr>
          <w:rStyle w:val="11"/>
          <w:rFonts w:hint="default" w:ascii="Times New Roman" w:hAnsi="Times New Roman" w:eastAsia="方正黑体_GBK" w:cs="Times New Roman"/>
          <w:b w:val="0"/>
          <w:bCs w:val="0"/>
          <w:color w:val="000000"/>
        </w:rPr>
        <w:t>三、支持企业安全提标改造。</w:t>
      </w:r>
      <w:r>
        <w:rPr>
          <w:rFonts w:hint="default" w:ascii="Times New Roman" w:hAnsi="Times New Roman" w:cs="Times New Roman"/>
        </w:rPr>
        <w:t>对</w:t>
      </w:r>
      <w:r>
        <w:rPr>
          <w:rFonts w:hint="default" w:ascii="Times New Roman" w:hAnsi="Times New Roman" w:eastAsia="仿宋" w:cs="Times New Roman"/>
        </w:rPr>
        <w:t>评定为国家一级安全生产标准化企业，一次性给予50万元的奖励；对委托权威机构开展危险与可操作性分析（HAZOP）的企业，按照委托额的20%、最高不超过10万元进行奖励。</w:t>
      </w:r>
      <w:r>
        <w:rPr>
          <w:rFonts w:hint="default" w:ascii="方正楷体_GBK" w:hAnsi="方正楷体_GBK" w:eastAsia="方正楷体_GBK" w:cs="方正楷体_GBK"/>
        </w:rPr>
        <w:t>（责任部门：材料办、应急局、财政局）</w:t>
      </w:r>
    </w:p>
    <w:p w14:paraId="5FF60633">
      <w:pPr>
        <w:pStyle w:val="8"/>
        <w:shd w:val="clear"/>
        <w:rPr>
          <w:rStyle w:val="11"/>
          <w:rFonts w:hint="default" w:ascii="Times New Roman" w:hAnsi="Times New Roman" w:eastAsia="方正黑体_GBK" w:cs="Times New Roman"/>
          <w:b w:val="0"/>
          <w:bCs w:val="0"/>
          <w:color w:val="000000"/>
        </w:rPr>
      </w:pPr>
      <w:r>
        <w:rPr>
          <w:rStyle w:val="11"/>
          <w:rFonts w:hint="default" w:ascii="Times New Roman" w:hAnsi="Times New Roman" w:eastAsia="方正黑体_GBK" w:cs="Times New Roman"/>
          <w:b w:val="0"/>
          <w:bCs/>
          <w:color w:val="000000"/>
        </w:rPr>
        <w:t>四、支持企业数字化转型。</w:t>
      </w:r>
      <w:r>
        <w:rPr>
          <w:rFonts w:hint="default" w:ascii="Times New Roman" w:hAnsi="Times New Roman" w:cs="Times New Roman"/>
        </w:rPr>
        <w:t>对经国家、吉林省相关部门认定的工业互联网、智能制造标杆化工新材料企业或示范场景等给予奖励。对获得国家级或省级称号的企业，分别给予一次性10万元、5万元奖励。</w:t>
      </w:r>
      <w:r>
        <w:rPr>
          <w:rFonts w:hint="default" w:ascii="方正楷体_GBK" w:hAnsi="方正楷体_GBK" w:eastAsia="方正楷体_GBK" w:cs="方正楷体_GBK"/>
        </w:rPr>
        <w:t>（责任部门：材料办、工信局、财政局）</w:t>
      </w:r>
    </w:p>
    <w:p w14:paraId="4B6C8F93">
      <w:pPr>
        <w:pStyle w:val="8"/>
        <w:shd w:val="clear"/>
        <w:rPr>
          <w:rStyle w:val="11"/>
          <w:rFonts w:hint="default" w:ascii="Times New Roman" w:hAnsi="Times New Roman" w:eastAsia="方正黑体_GBK" w:cs="Times New Roman"/>
          <w:bCs w:val="0"/>
          <w:color w:val="000000"/>
        </w:rPr>
      </w:pPr>
      <w:r>
        <w:rPr>
          <w:rFonts w:hint="default" w:ascii="Times New Roman" w:hAnsi="Times New Roman" w:eastAsia="微软雅黑" w:cs="Times New Roman"/>
          <w:sz w:val="21"/>
          <w:szCs w:val="21"/>
        </w:rPr>
        <w:t xml:space="preserve">  </w:t>
      </w:r>
      <w:r>
        <w:rPr>
          <w:rStyle w:val="11"/>
          <w:rFonts w:hint="default" w:ascii="Times New Roman" w:hAnsi="Times New Roman" w:eastAsia="方正黑体_GBK" w:cs="Times New Roman"/>
          <w:b w:val="0"/>
          <w:bCs w:val="0"/>
          <w:color w:val="000000"/>
        </w:rPr>
        <w:t>五、支持开展中试服务。</w:t>
      </w:r>
      <w:r>
        <w:rPr>
          <w:rFonts w:hint="default" w:ascii="Times New Roman" w:hAnsi="Times New Roman" w:cs="Times New Roman"/>
        </w:rPr>
        <w:t>对入驻化工园中试基地的企业，按照专家评选等级，对场地租赁、安全、环保等专业服务费用，可享受优惠；相关环评、安评费用，按照委托额的20%，每家企业补贴不超过10万元。</w:t>
      </w:r>
      <w:r>
        <w:rPr>
          <w:rFonts w:hint="default" w:ascii="方正楷体_GBK" w:hAnsi="方正楷体_GBK" w:eastAsia="方正楷体_GBK" w:cs="方正楷体_GBK"/>
        </w:rPr>
        <w:t>（责任部门：材料办、国资委、财政局）</w:t>
      </w:r>
    </w:p>
    <w:p w14:paraId="6B586E43">
      <w:pPr>
        <w:pStyle w:val="8"/>
        <w:shd w:val="clear"/>
        <w:rPr>
          <w:rFonts w:hint="default" w:ascii="方正楷体_GBK" w:hAnsi="方正楷体_GBK" w:eastAsia="方正楷体_GBK" w:cs="方正楷体_GBK"/>
        </w:rPr>
      </w:pPr>
      <w:r>
        <w:rPr>
          <w:rFonts w:hint="default" w:ascii="Times New Roman" w:hAnsi="Times New Roman" w:eastAsia="方正黑体_GBK" w:cs="Times New Roman"/>
        </w:rPr>
        <w:t>六、支持企业开展活动。</w:t>
      </w:r>
      <w:r>
        <w:rPr>
          <w:rFonts w:hint="default" w:ascii="Times New Roman" w:hAnsi="Times New Roman" w:cs="Times New Roman"/>
        </w:rPr>
        <w:t>支持企业、国家级行业学会（协会）、高校院所等举办国内外有影响力的新材料学术交流、技术研讨、创新竞赛培训等活动，事前报新区同意后，单个活动支持标准最高不超过核定活动费用的50%，每家单位每年累计不超过50万元。</w:t>
      </w:r>
      <w:r>
        <w:rPr>
          <w:rFonts w:hint="default" w:ascii="方正楷体_GBK" w:hAnsi="方正楷体_GBK" w:eastAsia="方正楷体_GBK" w:cs="方正楷体_GBK"/>
        </w:rPr>
        <w:t>（责任部门：投促局、材料办、财政局）</w:t>
      </w:r>
    </w:p>
    <w:p w14:paraId="3BA37406">
      <w:pPr>
        <w:pStyle w:val="8"/>
        <w:shd w:val="clear"/>
        <w:rPr>
          <w:rFonts w:hint="default" w:ascii="方正楷体_GBK" w:hAnsi="方正楷体_GBK" w:eastAsia="方正楷体_GBK" w:cs="方正楷体_GBK"/>
        </w:rPr>
      </w:pPr>
      <w:bookmarkStart w:id="6" w:name="OLE_LINK8"/>
      <w:bookmarkStart w:id="7" w:name="OLE_LINK7"/>
      <w:r>
        <w:rPr>
          <w:rFonts w:hint="default" w:ascii="Times New Roman" w:hAnsi="Times New Roman" w:eastAsia="方正黑体_GBK" w:cs="Times New Roman"/>
          <w:bCs w:val="0"/>
        </w:rPr>
        <w:t>七、支持鼓励外资利用。</w:t>
      </w:r>
      <w:bookmarkEnd w:id="6"/>
      <w:bookmarkEnd w:id="7"/>
      <w:r>
        <w:rPr>
          <w:rFonts w:hint="default" w:ascii="Times New Roman" w:hAnsi="Times New Roman" w:cs="Times New Roman"/>
        </w:rPr>
        <w:t>对化工新材料企业，上年度实际到位外资折合人民币达到2000万元以上（含）并纳入“吉林省外资信息管理系统”统计的，按实际到位资金的1%给予奖励，每家企业年度奖励金额不超过100万元。</w:t>
      </w:r>
      <w:r>
        <w:rPr>
          <w:rFonts w:hint="default" w:ascii="方正楷体_GBK" w:hAnsi="方正楷体_GBK" w:eastAsia="方正楷体_GBK" w:cs="方正楷体_GBK"/>
        </w:rPr>
        <w:t>（责任部门：投促局、材料办、财政局）</w:t>
      </w:r>
    </w:p>
    <w:p w14:paraId="07E38848">
      <w:pPr>
        <w:pStyle w:val="8"/>
        <w:shd w:val="clear"/>
        <w:rPr>
          <w:rFonts w:hint="default" w:ascii="方正楷体_GBK" w:hAnsi="方正楷体_GBK" w:eastAsia="方正楷体_GBK" w:cs="方正楷体_GBK"/>
        </w:rPr>
      </w:pPr>
      <w:r>
        <w:rPr>
          <w:rFonts w:hint="default" w:ascii="Times New Roman" w:hAnsi="Times New Roman" w:eastAsia="方正黑体_GBK" w:cs="Times New Roman"/>
          <w:bCs w:val="0"/>
        </w:rPr>
        <w:t>八、支持构建产业链条。</w:t>
      </w:r>
      <w:r>
        <w:rPr>
          <w:rFonts w:hint="default" w:ascii="Times New Roman" w:hAnsi="Times New Roman" w:cs="Times New Roman"/>
        </w:rPr>
        <w:t>对在化工园区范围内与同园企业形成上下游链条，新落位的配套企业（企业关联交易除外），按照与园内企业实际成交金额的1%给予奖励，最高不超过500万元，最多奖励3年。</w:t>
      </w:r>
      <w:bookmarkStart w:id="8" w:name="_GoBack"/>
      <w:r>
        <w:rPr>
          <w:rFonts w:hint="default" w:ascii="方正楷体_GBK" w:hAnsi="方正楷体_GBK" w:eastAsia="方正楷体_GBK" w:cs="方正楷体_GBK"/>
        </w:rPr>
        <w:t>（责任部门：材料办、工信局、财政局）</w:t>
      </w:r>
    </w:p>
    <w:bookmarkEnd w:id="8"/>
    <w:p w14:paraId="39D7BB22">
      <w:pPr>
        <w:pStyle w:val="8"/>
        <w:shd w:val="clea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措施自印发之日起试行，由相关责任部门负责制定具体实施细则，有效期至 2026 年 12 月 31 日，有明确期限的具体政策按其时限执行，国家、省市另有规定的从其规定。</w:t>
      </w:r>
    </w:p>
    <w:sectPr>
      <w:footerReference r:id="rId5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78665219"/>
      <w:docPartObj>
        <w:docPartGallery w:val="autotext"/>
      </w:docPartObj>
    </w:sdtPr>
    <w:sdtContent>
      <w:p w14:paraId="4E85985E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5275402B">
    <w:pPr>
      <w:pStyle w:val="6"/>
    </w:pPr>
  </w:p>
  <w:p w14:paraId="1F83813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229"/>
  <w:drawingGridVerticalSpacing w:val="156"/>
  <w:displayHorizontalDrawingGridEvery w:val="0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MDZmZDVkZjNmNDk4NDA1ZDkxYzg4ZDU0Y2FjOGYxNDUifQ=="/>
  </w:docVars>
  <w:rsids>
    <w:rsidRoot w:val="00000000"/>
    <w:rsid w:val="05394347"/>
    <w:rsid w:val="677F1E26"/>
    <w:rsid w:val="77FFB61F"/>
    <w:rsid w:val="78374F2B"/>
    <w:rsid w:val="9DFCF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left="1113"/>
      <w:jc w:val="center"/>
      <w:outlineLvl w:val="0"/>
    </w:pPr>
    <w:rPr>
      <w:rFonts w:ascii="方正小标宋_GBK" w:hAnsi="方正小标宋_GBK" w:eastAsia="方正小标宋_GBK" w:cs="方正小标宋_GBK"/>
      <w:spacing w:val="9"/>
      <w:kern w:val="2"/>
      <w:sz w:val="44"/>
      <w:szCs w:val="4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4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rFonts w:ascii="方正仿宋_GBK" w:hAnsi="方正仿宋_GBK" w:eastAsia="方正仿宋_GBK" w:cs="方正仿宋_GBK"/>
      <w:sz w:val="31"/>
      <w:szCs w:val="3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hd w:val="clear" w:color="auto" w:fill="FFFFFF"/>
      <w:ind w:left="0" w:firstLine="200" w:firstLineChars="200"/>
      <w:jc w:val="left"/>
    </w:pPr>
    <w:rPr>
      <w:rFonts w:ascii="方正仿宋_GBK" w:hAnsi="微软雅黑" w:eastAsia="方正仿宋_GBK" w:cs="宋体"/>
      <w:bCs/>
      <w:color w:val="333333"/>
      <w:kern w:val="0"/>
      <w:sz w:val="32"/>
      <w:szCs w:val="32"/>
    </w:rPr>
  </w:style>
  <w:style w:type="character" w:styleId="11">
    <w:name w:val="Strong"/>
    <w:basedOn w:val="10"/>
    <w:qFormat/>
    <w:uiPriority w:val="0"/>
    <w:rPr>
      <w:b/>
      <w:bCs/>
    </w:rPr>
  </w:style>
  <w:style w:type="character" w:customStyle="1" w:styleId="12">
    <w:name w:val="heading 1 Char"/>
    <w:basedOn w:val="10"/>
    <w:link w:val="2"/>
    <w:qFormat/>
    <w:uiPriority w:val="0"/>
    <w:rPr>
      <w:rFonts w:ascii="方正小标宋_GBK" w:hAnsi="方正小标宋_GBK" w:eastAsia="方正小标宋_GBK" w:cs="方正小标宋_GBK"/>
      <w:b/>
      <w:bCs/>
      <w:spacing w:val="9"/>
      <w:kern w:val="44"/>
      <w:sz w:val="44"/>
      <w:szCs w:val="44"/>
      <w:lang w:val="en-US" w:eastAsia="zh-CN" w:bidi="ar-SA"/>
    </w:rPr>
  </w:style>
  <w:style w:type="character" w:customStyle="1" w:styleId="13">
    <w:name w:val="heading 2 Char"/>
    <w:basedOn w:val="10"/>
    <w:link w:val="3"/>
    <w:qFormat/>
    <w:uiPriority w:val="0"/>
    <w:rPr>
      <w:rFonts w:ascii="Times New Roman" w:hAnsi="Times New Roman" w:eastAsia="黑体" w:cs="方正小标宋_GBK"/>
      <w:b/>
      <w:bCs/>
      <w:spacing w:val="9"/>
      <w:kern w:val="2"/>
      <w:sz w:val="32"/>
      <w:szCs w:val="32"/>
      <w:lang w:val="en-US" w:eastAsia="zh-CN" w:bidi="ar-SA"/>
    </w:rPr>
  </w:style>
  <w:style w:type="character" w:customStyle="1" w:styleId="14">
    <w:name w:val="heading 3 Char"/>
    <w:basedOn w:val="10"/>
    <w:link w:val="4"/>
    <w:qFormat/>
    <w:uiPriority w:val="0"/>
    <w:rPr>
      <w:rFonts w:ascii="方正小标宋_GBK" w:hAnsi="方正小标宋_GBK" w:eastAsia="方正小标宋_GBK" w:cs="方正小标宋_GBK"/>
      <w:b/>
      <w:bCs/>
      <w:spacing w:val="9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1"/>
        </a:gradFill>
        <a:gradFill rotWithShape="1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1"/>
        </a:gradFill>
      </a:fillStyleLst>
      <a:lnStyleLst>
        <a:ln w="1270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2700" cap="flat" cmpd="sng">
          <a:gradFill rotWithShape="1"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1206</Words>
  <Characters>1244</Characters>
  <Lines>0</Lines>
  <Paragraphs>15</Paragraphs>
  <TotalTime>0</TotalTime>
  <ScaleCrop>false</ScaleCrop>
  <LinksUpToDate>false</LinksUpToDate>
  <CharactersWithSpaces>1252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Lenovo</dc:creator>
  <cp:lastModifiedBy>牙满</cp:lastModifiedBy>
  <dcterms:modified xsi:type="dcterms:W3CDTF">2025-02-06T02:47:30Z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ECF69A19367E2C28B73779677EEC6B98_43</vt:lpwstr>
  </property>
  <property fmtid="{D5CDD505-2E9C-101B-9397-08002B2CF9AE}" pid="4" name="KSOTemplateDocerSaveRecord">
    <vt:lpwstr>eyJoZGlkIjoiMDgxNmM1ZGEwYzlkYzU1NThiYTI2MDdhMTVlN2FhMGYiLCJ1c2VySWQiOiIzMzc1NDc3NjUifQ==</vt:lpwstr>
  </property>
</Properties>
</file>