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E5DAA">
      <w:pPr>
        <w:ind w:firstLine="0" w:firstLineChars="0"/>
        <w:jc w:val="center"/>
        <w:rPr>
          <w:rFonts w:eastAsia="方正小标宋_GBK"/>
          <w:sz w:val="44"/>
          <w:szCs w:val="44"/>
        </w:rPr>
      </w:pPr>
      <w:r>
        <w:rPr>
          <w:rFonts w:hint="eastAsia" w:eastAsia="方正小标宋_GBK"/>
          <w:sz w:val="44"/>
          <w:szCs w:val="44"/>
        </w:rPr>
        <w:t>长春新区支持装备制造产业</w:t>
      </w:r>
    </w:p>
    <w:p w14:paraId="687E1CBD">
      <w:pPr>
        <w:ind w:firstLine="0" w:firstLineChars="0"/>
        <w:jc w:val="center"/>
        <w:rPr>
          <w:rFonts w:eastAsia="方正小标宋_GBK"/>
          <w:sz w:val="44"/>
          <w:szCs w:val="44"/>
        </w:rPr>
      </w:pPr>
      <w:r>
        <w:rPr>
          <w:rFonts w:hint="eastAsia" w:eastAsia="方正小标宋_GBK"/>
          <w:sz w:val="44"/>
          <w:szCs w:val="44"/>
        </w:rPr>
        <w:t>高质量发展若干措施</w:t>
      </w:r>
    </w:p>
    <w:p w14:paraId="6C4E7C90">
      <w:pPr>
        <w:ind w:firstLine="0" w:firstLineChars="0"/>
        <w:jc w:val="center"/>
        <w:rPr>
          <w:rFonts w:eastAsia="方正小标宋_GBK"/>
          <w:sz w:val="44"/>
          <w:szCs w:val="44"/>
        </w:rPr>
      </w:pPr>
    </w:p>
    <w:p w14:paraId="200A7B66">
      <w:pPr>
        <w:ind w:firstLine="640"/>
      </w:pPr>
      <w:r>
        <w:rPr>
          <w:rFonts w:hint="eastAsia"/>
        </w:rPr>
        <w:t>为加快推动先进装备制造产业发展建设，培育发展新质生产力，推动长春新区制造业高端化、智能化、绿色化、集群化发展，</w:t>
      </w:r>
      <w:r>
        <w:rPr>
          <w:rFonts w:cs="Times New Roman"/>
          <w:spacing w:val="-6"/>
          <w:szCs w:val="32"/>
        </w:rPr>
        <w:t>在《长春新区推动经济持续向好若干措施》基础上，出台《长春新区支持</w:t>
      </w:r>
      <w:r>
        <w:rPr>
          <w:rFonts w:hint="eastAsia" w:cs="Times New Roman"/>
          <w:spacing w:val="-6"/>
          <w:szCs w:val="32"/>
        </w:rPr>
        <w:t>装备制造</w:t>
      </w:r>
      <w:r>
        <w:rPr>
          <w:rFonts w:cs="Times New Roman"/>
          <w:spacing w:val="-6"/>
          <w:szCs w:val="32"/>
        </w:rPr>
        <w:t>产业高质量发展若干措施》，形成</w:t>
      </w:r>
      <w:r>
        <w:rPr>
          <w:rFonts w:hint="eastAsia" w:cs="Times New Roman"/>
          <w:spacing w:val="-6"/>
          <w:szCs w:val="32"/>
        </w:rPr>
        <w:t>“</w:t>
      </w:r>
      <w:r>
        <w:rPr>
          <w:rFonts w:cs="Times New Roman"/>
          <w:spacing w:val="-6"/>
          <w:szCs w:val="32"/>
        </w:rPr>
        <w:t>1+1</w:t>
      </w:r>
      <w:r>
        <w:rPr>
          <w:rFonts w:hint="eastAsia" w:cs="Times New Roman"/>
          <w:spacing w:val="-6"/>
          <w:szCs w:val="32"/>
        </w:rPr>
        <w:t>”</w:t>
      </w:r>
      <w:r>
        <w:rPr>
          <w:rFonts w:cs="Times New Roman"/>
          <w:spacing w:val="-6"/>
          <w:szCs w:val="32"/>
        </w:rPr>
        <w:t>支持体系</w:t>
      </w:r>
      <w:r>
        <w:rPr>
          <w:rFonts w:hint="eastAsia"/>
        </w:rPr>
        <w:t>。重点支持：</w:t>
      </w:r>
      <w:r>
        <w:rPr>
          <w:rFonts w:cs="Times New Roman"/>
          <w:color w:val="000000"/>
          <w:kern w:val="0"/>
          <w:szCs w:val="32"/>
        </w:rPr>
        <w:t>从事</w:t>
      </w:r>
      <w:r>
        <w:rPr>
          <w:rFonts w:hint="eastAsia" w:cs="Times New Roman"/>
          <w:color w:val="000000"/>
          <w:kern w:val="0"/>
          <w:szCs w:val="32"/>
        </w:rPr>
        <w:t>装备制造</w:t>
      </w:r>
      <w:r>
        <w:rPr>
          <w:rFonts w:cs="Times New Roman"/>
          <w:color w:val="000000"/>
          <w:kern w:val="0"/>
          <w:szCs w:val="32"/>
        </w:rPr>
        <w:t>相关领域</w:t>
      </w:r>
      <w:r>
        <w:rPr>
          <w:rFonts w:cs="Times New Roman"/>
          <w:color w:val="000000"/>
          <w:w w:val="99"/>
          <w:kern w:val="0"/>
          <w:szCs w:val="32"/>
        </w:rPr>
        <w:t>研</w:t>
      </w:r>
      <w:r>
        <w:rPr>
          <w:rFonts w:cs="Times New Roman"/>
          <w:color w:val="000000"/>
          <w:kern w:val="0"/>
          <w:szCs w:val="32"/>
        </w:rPr>
        <w:t>发、生产、服务等生产经营活动，具有独立法人资格的企事业</w:t>
      </w:r>
      <w:r>
        <w:rPr>
          <w:rFonts w:cs="Times New Roman"/>
          <w:color w:val="000000"/>
          <w:w w:val="99"/>
          <w:kern w:val="0"/>
          <w:szCs w:val="32"/>
        </w:rPr>
        <w:t>单</w:t>
      </w:r>
      <w:r>
        <w:rPr>
          <w:rFonts w:cs="Times New Roman"/>
          <w:color w:val="000000"/>
          <w:kern w:val="0"/>
          <w:szCs w:val="32"/>
        </w:rPr>
        <w:t>位、社会团体、行业组织，以及符合</w:t>
      </w:r>
      <w:r>
        <w:rPr>
          <w:rFonts w:hint="eastAsia" w:cs="Times New Roman"/>
          <w:color w:val="000000"/>
          <w:kern w:val="0"/>
          <w:szCs w:val="32"/>
        </w:rPr>
        <w:t>长春</w:t>
      </w:r>
      <w:r>
        <w:rPr>
          <w:rFonts w:cs="Times New Roman"/>
          <w:color w:val="000000"/>
          <w:kern w:val="0"/>
          <w:szCs w:val="32"/>
        </w:rPr>
        <w:t>新区</w:t>
      </w:r>
      <w:r>
        <w:rPr>
          <w:rFonts w:hint="eastAsia" w:cs="Times New Roman"/>
          <w:color w:val="000000"/>
          <w:kern w:val="0"/>
          <w:szCs w:val="32"/>
        </w:rPr>
        <w:t>装备制造</w:t>
      </w:r>
      <w:r>
        <w:rPr>
          <w:rFonts w:cs="Times New Roman"/>
          <w:color w:val="000000"/>
          <w:kern w:val="0"/>
          <w:szCs w:val="32"/>
        </w:rPr>
        <w:t>产业</w:t>
      </w:r>
      <w:r>
        <w:rPr>
          <w:rFonts w:hint="eastAsia" w:cs="Times New Roman"/>
          <w:color w:val="000000"/>
          <w:kern w:val="0"/>
          <w:szCs w:val="32"/>
        </w:rPr>
        <w:t>链</w:t>
      </w:r>
      <w:r>
        <w:rPr>
          <w:rFonts w:cs="Times New Roman"/>
          <w:color w:val="000000"/>
          <w:kern w:val="0"/>
          <w:szCs w:val="32"/>
        </w:rPr>
        <w:t>发展或提供支撑的其他对象。</w:t>
      </w:r>
    </w:p>
    <w:p w14:paraId="4914AEDE">
      <w:pPr>
        <w:ind w:firstLine="643"/>
        <w:rPr>
          <w:rFonts w:hint="eastAsia" w:ascii="方正楷体_GBK" w:hAnsi="方正楷体_GBK" w:eastAsia="方正楷体_GBK" w:cs="方正楷体_GBK"/>
        </w:rPr>
      </w:pPr>
      <w:r>
        <w:rPr>
          <w:rFonts w:hint="eastAsia" w:ascii="方正黑体_GBK" w:hAnsi="方正黑体_GBK" w:eastAsia="方正黑体_GBK" w:cs="方正黑体_GBK"/>
          <w:b w:val="0"/>
          <w:bCs w:val="0"/>
          <w:color w:val="000000"/>
          <w:szCs w:val="32"/>
          <w:shd w:val="clear" w:color="auto" w:fill="FFFFFF"/>
        </w:rPr>
        <w:t>一、支持企业智能化改造和数字化转型。</w:t>
      </w:r>
      <w:r>
        <w:rPr>
          <w:rFonts w:hint="eastAsia"/>
        </w:rPr>
        <w:t>对新区范围内经省级认定的示范工厂（车间），根据企业用于工厂（车间）建设的项目软硬件（包括企业设备购置、软件购置和其他技术咨询与服务费，不包含土建和厂房投资）的投入规模，按照省、市支持资金总额10%标准给予事后奖补，数字化车间（生产线）补助原则上最高不超过50万元，智能工厂补助原则上最高不超过100万元，未来工厂原则上补助最高不超过200万元。对已获得“智改数转”项目补助的项目，在示范工厂（车间）补助资金中予以扣除。</w:t>
      </w:r>
      <w:r>
        <w:rPr>
          <w:rFonts w:hint="eastAsia" w:ascii="方正楷体_GBK" w:hAnsi="方正楷体_GBK" w:eastAsia="方正楷体_GBK" w:cs="方正楷体_GBK"/>
        </w:rPr>
        <w:t>（责任部门：工信局、财政局）</w:t>
      </w:r>
    </w:p>
    <w:p w14:paraId="353FDFB2">
      <w:pPr>
        <w:ind w:firstLine="643"/>
      </w:pPr>
      <w:r>
        <w:rPr>
          <w:rFonts w:hint="eastAsia" w:ascii="方正黑体_GBK" w:hAnsi="方正黑体_GBK" w:eastAsia="方正黑体_GBK" w:cs="方正黑体_GBK"/>
          <w:b w:val="0"/>
          <w:bCs w:val="0"/>
          <w:color w:val="000000"/>
          <w:szCs w:val="32"/>
          <w:shd w:val="clear" w:color="auto" w:fill="FFFFFF"/>
        </w:rPr>
        <w:t>二、鼓励传统制造企业转型发展服务型制造新模式。</w:t>
      </w:r>
      <w:r>
        <w:rPr>
          <w:rFonts w:hint="eastAsia"/>
        </w:rPr>
        <w:t>鼓励新区传统制造业企业利用新一代信息技术赋能新制造、催生新服务，加快培育发展服务型制造新业态新模式,推动企业向“制造+服务”“产品+服务”转型，促进制造业提质增效和转型升级。</w:t>
      </w:r>
      <w:r>
        <w:rPr>
          <w:rFonts w:hint="eastAsia" w:ascii="方正楷体_GBK" w:hAnsi="方正楷体_GBK" w:eastAsia="方正楷体_GBK" w:cs="方正楷体_GBK"/>
        </w:rPr>
        <w:t>（责任部门：工信局）</w:t>
      </w:r>
    </w:p>
    <w:p w14:paraId="2D918F86">
      <w:pPr>
        <w:ind w:firstLine="643"/>
        <w:rPr>
          <w:rFonts w:hint="eastAsia" w:ascii="方正楷体_GBK" w:hAnsi="方正楷体_GBK" w:eastAsia="方正楷体_GBK" w:cs="方正楷体_GBK"/>
        </w:rPr>
      </w:pPr>
      <w:r>
        <w:rPr>
          <w:rFonts w:hint="eastAsia" w:ascii="方正黑体_GBK" w:hAnsi="方正黑体_GBK" w:eastAsia="方正黑体_GBK" w:cs="方正黑体_GBK"/>
          <w:b w:val="0"/>
          <w:bCs w:val="0"/>
          <w:color w:val="000000"/>
          <w:szCs w:val="32"/>
          <w:shd w:val="clear" w:color="auto" w:fill="FFFFFF"/>
        </w:rPr>
        <w:t>三、支持装备制造产业园建设。</w:t>
      </w:r>
      <w:r>
        <w:rPr>
          <w:rFonts w:hint="eastAsia"/>
        </w:rPr>
        <w:t>对新区范围内的现有或新建的用于汽车、农机装备制造的产业园区，园区内汽车企业数量达20家以上且总产值达到30亿元以上的，新区将给予园区建设和运营主体一次性</w:t>
      </w:r>
      <w:r>
        <w:t>1</w:t>
      </w:r>
      <w:r>
        <w:rPr>
          <w:rFonts w:hint="eastAsia"/>
        </w:rPr>
        <w:t>00万元运营支持；园区内农机规上企业数量达10家以上且总产值达到10亿元以上的，新区将给予园区建设和运营主体一次性</w:t>
      </w:r>
      <w:r>
        <w:t>1</w:t>
      </w:r>
      <w:r>
        <w:rPr>
          <w:rFonts w:hint="eastAsia"/>
        </w:rPr>
        <w:t>00万元运营支持。</w:t>
      </w:r>
      <w:r>
        <w:rPr>
          <w:rFonts w:hint="eastAsia" w:ascii="方正楷体_GBK" w:hAnsi="方正楷体_GBK" w:eastAsia="方正楷体_GBK" w:cs="方正楷体_GBK"/>
        </w:rPr>
        <w:t>（责任部门：工信局、发改局、财政局）</w:t>
      </w:r>
    </w:p>
    <w:p w14:paraId="0B0F44EA">
      <w:pPr>
        <w:ind w:firstLine="643"/>
      </w:pPr>
      <w:r>
        <w:rPr>
          <w:rFonts w:hint="eastAsia" w:ascii="方正黑体_GBK" w:hAnsi="方正黑体_GBK" w:eastAsia="方正黑体_GBK" w:cs="方正黑体_GBK"/>
          <w:b w:val="0"/>
          <w:bCs w:val="0"/>
          <w:color w:val="000000"/>
          <w:szCs w:val="32"/>
          <w:shd w:val="clear" w:color="auto" w:fill="FFFFFF"/>
        </w:rPr>
        <w:t>四、促进装备制造领域初创企业成型。</w:t>
      </w:r>
      <w:r>
        <w:rPr>
          <w:rFonts w:hint="eastAsia"/>
        </w:rPr>
        <w:t>鼓励创业服务机构为装备制造领域初创企业提供孵化服务，对满足相应条件的创业服务机构给予支持。经认定，创业服务机构帮助初创企业在入驻一年内取得关键技术突破、获得首轮融资，或是达成一定规模的产品订单，将依据实际孵化成效，给予创业服务机构最高不超过</w:t>
      </w:r>
      <w:r>
        <w:t>50</w:t>
      </w:r>
      <w:r>
        <w:rPr>
          <w:rFonts w:hint="eastAsia"/>
        </w:rPr>
        <w:t>万元的资金支持。</w:t>
      </w:r>
      <w:r>
        <w:rPr>
          <w:rFonts w:hint="eastAsia" w:ascii="方正楷体_GBK" w:hAnsi="方正楷体_GBK" w:eastAsia="方正楷体_GBK" w:cs="方正楷体_GBK"/>
        </w:rPr>
        <w:t>（责任部门：工信局、财政局）</w:t>
      </w:r>
    </w:p>
    <w:p w14:paraId="5FB9E9ED">
      <w:pPr>
        <w:ind w:firstLine="643"/>
        <w:rPr>
          <w:rFonts w:hint="eastAsia" w:ascii="方正楷体_GBK" w:hAnsi="方正楷体_GBK" w:eastAsia="方正楷体_GBK" w:cs="方正楷体_GBK"/>
        </w:rPr>
      </w:pPr>
      <w:r>
        <w:rPr>
          <w:rFonts w:hint="eastAsia" w:ascii="方正黑体_GBK" w:hAnsi="方正黑体_GBK" w:eastAsia="方正黑体_GBK" w:cs="方正黑体_GBK"/>
          <w:b w:val="0"/>
          <w:bCs w:val="0"/>
          <w:color w:val="000000"/>
          <w:szCs w:val="32"/>
          <w:shd w:val="clear" w:color="auto" w:fill="FFFFFF"/>
        </w:rPr>
        <w:t>五、推进传统汽车产业转型升级，提高新能源汽车配套率。</w:t>
      </w:r>
      <w:r>
        <w:rPr>
          <w:rFonts w:hint="eastAsia"/>
        </w:rPr>
        <w:t>鼓励新区内传统零部件企业围绕新能源汽车关键技术及零部件生产进行转型。具体包括：新一代模块化高性能整车平台、多能源动力系统集成、基于域控制器的新型电子电气架构以及能量管理为核心的智能控制等整车技术；先进电池材料、电池结构优化、固态电池、燃料电池等新一代电池技术。新型驱动电机、多合一电驱动总成、第三代功率半导体、轮毂电机等电机电控前瞻技术。车规级芯片。对于实现创新成果转化的规模化生产制造项目给与支持，最高不超过100万元。</w:t>
      </w:r>
      <w:bookmarkStart w:id="0" w:name="_GoBack"/>
      <w:r>
        <w:rPr>
          <w:rFonts w:hint="eastAsia" w:ascii="方正楷体_GBK" w:hAnsi="方正楷体_GBK" w:eastAsia="方正楷体_GBK" w:cs="方正楷体_GBK"/>
        </w:rPr>
        <w:t>（责任部门：工信局、财政局）</w:t>
      </w:r>
    </w:p>
    <w:bookmarkEnd w:id="0"/>
    <w:p w14:paraId="2E51828B">
      <w:pPr>
        <w:ind w:firstLine="640"/>
      </w:pPr>
    </w:p>
    <w:p w14:paraId="620315C3">
      <w:pPr>
        <w:ind w:firstLine="640"/>
      </w:pPr>
      <w:r>
        <w:rPr>
          <w:rFonts w:hint="eastAsia"/>
        </w:rPr>
        <w:t>以上措施自印发之日起试行，由相关责任部门负责制定具体实施细则，有效期至2026年12月31日，有明确期限的具体政策按其时限执行，国家、省市另有规定的从其规定。</w:t>
      </w:r>
    </w:p>
    <w:sectPr>
      <w:footerReference r:id="rId5" w:type="default"/>
      <w:pgSz w:w="11906" w:h="16838"/>
      <w:pgMar w:top="2098" w:right="1417" w:bottom="1984" w:left="141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7388992"/>
    </w:sdtPr>
    <w:sdtContent>
      <w:p w14:paraId="64A3EE9F">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14:paraId="5B33FD1A">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HorizontalSpacing w:val="160"/>
  <w:drawingGridVerticalSpacing w:val="156"/>
  <w:displayHorizontalDrawingGridEvery w:val="0"/>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BF4"/>
    <w:rsid w:val="00097022"/>
    <w:rsid w:val="00206BF4"/>
    <w:rsid w:val="006F342E"/>
    <w:rsid w:val="009C4E7A"/>
    <w:rsid w:val="00E43FE0"/>
    <w:rsid w:val="00FE091C"/>
    <w:rsid w:val="25B825F2"/>
    <w:rsid w:val="FE7E2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方正仿宋_GBK" w:cs="宋体"/>
      <w:kern w:val="2"/>
      <w:sz w:val="32"/>
      <w:szCs w:val="24"/>
      <w:lang w:val="en-US" w:eastAsia="zh-CN" w:bidi="ar-SA"/>
    </w:rPr>
  </w:style>
  <w:style w:type="paragraph" w:styleId="2">
    <w:name w:val="heading 1"/>
    <w:basedOn w:val="1"/>
    <w:next w:val="1"/>
    <w:link w:val="13"/>
    <w:qFormat/>
    <w:uiPriority w:val="9"/>
    <w:pPr>
      <w:keepNext/>
      <w:keepLines/>
      <w:ind w:firstLine="0" w:firstLineChars="0"/>
      <w:jc w:val="center"/>
      <w:outlineLvl w:val="0"/>
    </w:pPr>
    <w:rPr>
      <w:rFonts w:eastAsia="方正小标宋_GBK" w:cs="Arial"/>
      <w:kern w:val="44"/>
      <w:sz w:val="44"/>
    </w:rPr>
  </w:style>
  <w:style w:type="paragraph" w:styleId="3">
    <w:name w:val="heading 2"/>
    <w:basedOn w:val="1"/>
    <w:next w:val="1"/>
    <w:link w:val="14"/>
    <w:semiHidden/>
    <w:unhideWhenUsed/>
    <w:qFormat/>
    <w:uiPriority w:val="9"/>
    <w:pPr>
      <w:jc w:val="left"/>
      <w:outlineLvl w:val="1"/>
    </w:pPr>
    <w:rPr>
      <w:rFonts w:eastAsia="方正黑体_GBK" w:cs="Times New Roman"/>
    </w:rPr>
  </w:style>
  <w:style w:type="paragraph" w:styleId="4">
    <w:name w:val="heading 3"/>
    <w:basedOn w:val="1"/>
    <w:next w:val="1"/>
    <w:link w:val="15"/>
    <w:semiHidden/>
    <w:unhideWhenUsed/>
    <w:qFormat/>
    <w:uiPriority w:val="9"/>
    <w:pPr>
      <w:keepNext/>
      <w:keepLines/>
      <w:jc w:val="left"/>
      <w:outlineLvl w:val="2"/>
    </w:pPr>
    <w:rPr>
      <w:rFonts w:eastAsia="方正楷体_GBK" w:cs="Times New Roman"/>
      <w:szCs w:val="22"/>
    </w:rPr>
  </w:style>
  <w:style w:type="paragraph" w:styleId="5">
    <w:name w:val="heading 4"/>
    <w:basedOn w:val="1"/>
    <w:next w:val="1"/>
    <w:link w:val="16"/>
    <w:semiHidden/>
    <w:unhideWhenUsed/>
    <w:qFormat/>
    <w:uiPriority w:val="9"/>
    <w:pPr>
      <w:keepNext/>
      <w:keepLines/>
      <w:outlineLvl w:val="3"/>
    </w:pPr>
    <w:rPr>
      <w:rFonts w:ascii="方正仿宋_GBK" w:hAnsi="方正仿宋_GBK"/>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style>
  <w:style w:type="paragraph" w:styleId="7">
    <w:name w:val="Body Text"/>
    <w:basedOn w:val="1"/>
    <w:next w:val="6"/>
    <w:qFormat/>
    <w:uiPriority w:val="0"/>
    <w:rPr>
      <w:rFonts w:ascii="宋体" w:hAnsi="宋体" w:eastAsia="宋体"/>
      <w:szCs w:val="32"/>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qFormat/>
    <w:uiPriority w:val="0"/>
    <w:pPr>
      <w:tabs>
        <w:tab w:val="center" w:pos="4153"/>
        <w:tab w:val="right" w:pos="8306"/>
      </w:tabs>
      <w:snapToGrid w:val="0"/>
      <w:spacing w:line="240" w:lineRule="atLeast"/>
      <w:jc w:val="center"/>
    </w:pPr>
    <w:rPr>
      <w:sz w:val="18"/>
      <w:szCs w:val="18"/>
    </w:rPr>
  </w:style>
  <w:style w:type="character" w:styleId="12">
    <w:name w:val="Strong"/>
    <w:basedOn w:val="11"/>
    <w:qFormat/>
    <w:uiPriority w:val="0"/>
    <w:rPr>
      <w:b/>
    </w:rPr>
  </w:style>
  <w:style w:type="character" w:customStyle="1" w:styleId="13">
    <w:name w:val="标题 1 字符"/>
    <w:basedOn w:val="11"/>
    <w:link w:val="2"/>
    <w:qFormat/>
    <w:uiPriority w:val="0"/>
    <w:rPr>
      <w:rFonts w:ascii="Times New Roman" w:hAnsi="Times New Roman" w:eastAsia="方正小标宋_GBK" w:cs="Arial"/>
      <w:kern w:val="44"/>
      <w:sz w:val="44"/>
      <w:szCs w:val="24"/>
      <w:lang w:val="en-US" w:eastAsia="zh-CN" w:bidi="ar-SA"/>
    </w:rPr>
  </w:style>
  <w:style w:type="character" w:customStyle="1" w:styleId="14">
    <w:name w:val="标题 2 字符"/>
    <w:basedOn w:val="11"/>
    <w:link w:val="3"/>
    <w:qFormat/>
    <w:uiPriority w:val="0"/>
    <w:rPr>
      <w:rFonts w:ascii="Times New Roman" w:hAnsi="Times New Roman" w:eastAsia="方正黑体_GBK" w:cs="Times New Roman"/>
      <w:kern w:val="2"/>
      <w:sz w:val="32"/>
      <w:szCs w:val="24"/>
      <w:lang w:val="en-US" w:eastAsia="zh-CN" w:bidi="ar-SA"/>
    </w:rPr>
  </w:style>
  <w:style w:type="character" w:customStyle="1" w:styleId="15">
    <w:name w:val="标题 3 字符"/>
    <w:basedOn w:val="11"/>
    <w:link w:val="4"/>
    <w:qFormat/>
    <w:uiPriority w:val="0"/>
    <w:rPr>
      <w:rFonts w:ascii="Times New Roman" w:hAnsi="Times New Roman" w:eastAsia="方正楷体_GBK" w:cs="Times New Roman"/>
      <w:kern w:val="2"/>
      <w:sz w:val="32"/>
      <w:szCs w:val="22"/>
      <w:lang w:val="en-US" w:eastAsia="zh-CN" w:bidi="ar-SA"/>
    </w:rPr>
  </w:style>
  <w:style w:type="character" w:customStyle="1" w:styleId="16">
    <w:name w:val="标题 4 字符"/>
    <w:basedOn w:val="11"/>
    <w:link w:val="5"/>
    <w:qFormat/>
    <w:uiPriority w:val="0"/>
    <w:rPr>
      <w:rFonts w:ascii="方正仿宋_GBK" w:hAnsi="方正仿宋_GBK" w:eastAsia="方正仿宋_GBK" w:cs="宋体"/>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rgbClr val="000000"/>
      </a:dk1>
      <a:lt1>
        <a:srgbClr val="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
        <a:ea typeface=""/>
        <a:cs typeface=""/>
      </a:majorFont>
      <a:minorFont>
        <a:latin typeface=""/>
        <a:ea typeface=""/>
        <a:cs typeface=""/>
      </a:minorFont>
    </a:fontScheme>
    <a:fmtScheme name="WPS">
      <a:fillStyleLst>
        <a:solidFill>
          <a:schemeClr val="phClr"/>
        </a:solidFill>
        <a:gradFill rotWithShape="1">
          <a:gsLst>
            <a:gs pos="0">
              <a:schemeClr val="phClr">
                <a:lumOff val="17500"/>
              </a:schemeClr>
            </a:gs>
            <a:gs pos="100000">
              <a:schemeClr val="phClr"/>
            </a:gs>
          </a:gsLst>
          <a:lin ang="2700000" scaled="1"/>
        </a:gradFill>
        <a:gradFill rotWithShape="1">
          <a:gsLst>
            <a:gs pos="0">
              <a:schemeClr val="phClr">
                <a:hueOff val="-2520000"/>
              </a:schemeClr>
            </a:gs>
            <a:gs pos="100000">
              <a:schemeClr val="phClr"/>
            </a:gs>
          </a:gsLst>
          <a:lin ang="2700000" scaled="1"/>
        </a:gradFill>
      </a:fillStyleLst>
      <a:lnStyleLst>
        <a:ln w="12700" cap="flat" cmpd="sng">
          <a:solidFill>
            <a:schemeClr val="phClr"/>
          </a:solidFill>
          <a:prstDash val="solid"/>
          <a:miter/>
        </a:ln>
        <a:ln w="12700" cap="flat" cmpd="sng">
          <a:solidFill>
            <a:schemeClr val="phClr"/>
          </a:solidFill>
          <a:prstDash val="solid"/>
          <a:miter/>
        </a:ln>
        <a:ln w="12700" cap="flat" cmpd="sng">
          <a:gradFill rotWithShape="1">
            <a:gsLst>
              <a:gs pos="0">
                <a:schemeClr val="phClr">
                  <a:hueOff val="-4200000"/>
                </a:schemeClr>
              </a:gs>
              <a:gs pos="100000">
                <a:schemeClr val="phClr"/>
              </a:gs>
            </a:gsLst>
            <a:lin ang="2700000" scaled="1"/>
          </a:gradFill>
          <a:prstDash val="solid"/>
          <a:miter/>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1224</Words>
  <Characters>1249</Characters>
  <Lines>8</Lines>
  <Paragraphs>2</Paragraphs>
  <TotalTime>5</TotalTime>
  <ScaleCrop>false</ScaleCrop>
  <LinksUpToDate>false</LinksUpToDate>
  <CharactersWithSpaces>1249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2025-01-06T17:36:00Z</dcterms:created>
  <dc:creator>86182</dc:creator>
  <cp:lastModifiedBy>牙满</cp:lastModifiedBy>
  <cp:lastPrinted>2025-01-06T17:35:00Z</cp:lastPrinted>
  <dcterms:modified xsi:type="dcterms:W3CDTF">2025-02-06T03:07:08Z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6CC77FBB6DB44F538AEF17C4753E1255_13</vt:lpwstr>
  </property>
  <property fmtid="{D5CDD505-2E9C-101B-9397-08002B2CF9AE}" pid="4" name="KSOTemplateDocerSaveRecord">
    <vt:lpwstr>eyJoZGlkIjoiMDgxNmM1ZGEwYzlkYzU1NThiYTI2MDdhMTVlN2FhMGYiLCJ1c2VySWQiOiIzMzc1NDc3NjUifQ==</vt:lpwstr>
  </property>
</Properties>
</file>