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 w:val="0"/>
        <w:autoSpaceDE w:val="0"/>
        <w:autoSpaceDN w:val="0"/>
        <w:adjustRightInd w:val="0"/>
        <w:spacing w:before="0" w:after="41" w:line="240" w:lineRule="auto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1"/>
          <w:w w:val="99"/>
          <w:kern w:val="0"/>
          <w:position w:val="0"/>
          <w:sz w:val="44"/>
          <w:szCs w:val="44"/>
        </w:rPr>
        <w:t>长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</w:rPr>
        <w:t>春新区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  <w:lang w:eastAsia="zh-CN"/>
        </w:rPr>
        <w:t>支持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</w:rPr>
        <w:t>光电信息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  <w:lang w:eastAsia="zh-CN"/>
        </w:rPr>
        <w:t>（未来显示）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</w:rPr>
        <w:t>产业</w:t>
      </w:r>
    </w:p>
    <w:p>
      <w:pPr>
        <w:widowControl w:val="0"/>
        <w:kinsoku w:val="0"/>
        <w:autoSpaceDE w:val="0"/>
        <w:autoSpaceDN w:val="0"/>
        <w:adjustRightInd w:val="0"/>
        <w:spacing w:before="0" w:after="41" w:line="240" w:lineRule="auto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99"/>
          <w:kern w:val="0"/>
          <w:position w:val="0"/>
          <w:sz w:val="44"/>
          <w:szCs w:val="44"/>
        </w:rPr>
        <w:t>高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</w:rPr>
        <w:t>质量发展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pacing w:val="0"/>
          <w:w w:val="100"/>
          <w:kern w:val="0"/>
          <w:position w:val="0"/>
          <w:sz w:val="44"/>
          <w:szCs w:val="44"/>
          <w:lang w:eastAsia="zh-CN"/>
        </w:rPr>
        <w:t>若干措施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00" w:lineRule="exact"/>
        <w:ind w:left="516" w:right="0" w:firstLine="0"/>
        <w:jc w:val="both"/>
        <w:textAlignment w:val="baseline"/>
        <w:rPr>
          <w:rFonts w:ascii="Arial" w:hAnsi="Arial" w:eastAsia="Arial" w:cs="Arial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adjustRightInd w:val="0"/>
        <w:snapToGrid/>
        <w:spacing w:before="3" w:after="0" w:line="560" w:lineRule="exact"/>
        <w:ind w:right="288" w:firstLine="688" w:firstLineChars="200"/>
        <w:textAlignment w:val="baseline"/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</w:pPr>
      <w:r>
        <w:rPr>
          <w:rFonts w:ascii="Times New Roman" w:hAnsi="Times New Roman" w:eastAsia="方正仿宋_GBK" w:cs="Times New Roman"/>
          <w:b w:val="0"/>
          <w:i w:val="0"/>
          <w:color w:val="000000"/>
          <w:spacing w:val="12"/>
          <w:w w:val="100"/>
          <w:kern w:val="0"/>
          <w:position w:val="0"/>
          <w:sz w:val="32"/>
          <w:szCs w:val="32"/>
        </w:rPr>
        <w:t>为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推动“长春光谷”建设，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加快集聚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高水平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光电信息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产业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，打造光电信息产业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创新集群，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把光电信息产业培育成为新区高质量发展的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重要支柱产业，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在《长春新区推动经济持续向好若干措施》基础上，出台《长春新区支持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光电信息（未来显示）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产业高质量发展若干措施》，形成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“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1+1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”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政策支持体系</w:t>
      </w:r>
      <w:r>
        <w:rPr>
          <w:rFonts w:ascii="Times New Roman" w:hAnsi="Times New Roman" w:eastAsia="方正仿宋_GBK" w:cs="Times New Roman"/>
          <w:spacing w:val="1"/>
          <w:sz w:val="32"/>
          <w:szCs w:val="32"/>
          <w:shd w:val="clear" w:color="auto" w:fill="auto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重点支持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范围包括：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从事光电信息相关领域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研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发、生产、服务等生产经营活动，具有独立法人资格的企事业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单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位、社会团体、行业组织，以及符合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长春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新区光电信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1"/>
          <w:w w:val="99"/>
          <w:kern w:val="0"/>
          <w:position w:val="0"/>
          <w:sz w:val="32"/>
          <w:szCs w:val="32"/>
        </w:rPr>
        <w:t>息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产业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链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发展或提供支撑的其他对象。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adjustRightInd w:val="0"/>
        <w:snapToGrid/>
        <w:spacing w:before="3" w:after="0" w:line="560" w:lineRule="exact"/>
        <w:ind w:right="288" w:firstLine="632" w:firstLineChars="200"/>
        <w:textAlignment w:val="baseline"/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w w:val="99"/>
          <w:sz w:val="32"/>
          <w:szCs w:val="32"/>
          <w:lang w:eastAsia="zh-CN"/>
        </w:rPr>
        <w:t>一、支持科技成果转化</w:t>
      </w:r>
      <w:r>
        <w:rPr>
          <w:rFonts w:hint="eastAsia" w:ascii="方正黑体_GBK" w:hAnsi="方正黑体_GBK" w:eastAsia="方正黑体_GBK" w:cs="方正黑体_GBK"/>
          <w:color w:val="000000"/>
          <w:w w:val="99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  <w:lang w:eastAsia="zh-CN"/>
        </w:rPr>
        <w:t>以光电装备制造、激光制造与应用、航空航天、新型显示与照明、汽车电子和集成电路等领域为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发展方向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重点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聚焦新型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传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</w:rPr>
        <w:t>感器、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  <w:lang w:eastAsia="zh-CN"/>
        </w:rPr>
        <w:t>光电仪器设备、卫星制造及航天信息应用、通用飞机（无人机）制造、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  <w:lang w:val="en-US" w:eastAsia="zh-CN"/>
        </w:rPr>
        <w:t>LED显示照明、OLED显示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 xml:space="preserve">等先进光电科学技术相关产品、技术的研发、设计、 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1"/>
          <w:w w:val="99"/>
          <w:kern w:val="0"/>
          <w:position w:val="0"/>
          <w:sz w:val="32"/>
          <w:szCs w:val="32"/>
        </w:rPr>
        <w:t>生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产与应用领域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给予研究成果转化承接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建设方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 xml:space="preserve">最高不超过 </w:t>
      </w:r>
      <w:r>
        <w:rPr>
          <w:rFonts w:hint="eastAsia"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:shd w:val="clear" w:color="auto" w:fill="auto"/>
          <w:lang w:val="en-US" w:eastAsia="zh-CN" w:bidi="ar-SA"/>
        </w:rPr>
        <w:t>00万元的奖励。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adjustRightInd w:val="0"/>
        <w:snapToGrid/>
        <w:spacing w:before="3" w:after="0" w:line="560" w:lineRule="exact"/>
        <w:ind w:right="288" w:firstLine="632" w:firstLineChars="200"/>
        <w:textAlignment w:val="baseline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w w:val="99"/>
          <w:sz w:val="32"/>
          <w:szCs w:val="32"/>
          <w:lang w:eastAsia="zh-CN"/>
        </w:rPr>
        <w:t>二、支持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创新平台建设。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鼓励围绕技术研发、成果转化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、能力提升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 xml:space="preserve">等关键环节，建设科技公共技术服务平台，对新建平台按建设总投资 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0%给予最高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00万元支持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，同时采取政府引导社会资本股权投资、国有平台公司融资等方式给予支持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；鼓励平台对外开放共享，根据年度服务成效每年给予最高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00 万元资金补助。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（责任部门：光电办、科技局、财政局）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32" w:firstLineChars="200"/>
        <w:jc w:val="both"/>
        <w:textAlignment w:val="baseline"/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三、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支持延链补链强链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按照光电装备制造、激光制造与应用、航空航天、新型显示与照明（未来显示）、汽车电子和集成电路、人形机器人、低空经济等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每个产业链确定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3-5户链主企业，实行联盟轮值理事长轮值制度，每一年轮值一次，链主企业每年至少推荐5家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延链补链强链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企业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经评选出的链主企业，每年给予20万元经费支持。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adjustRightInd w:val="0"/>
        <w:snapToGrid/>
        <w:spacing w:before="9" w:after="0" w:line="560" w:lineRule="exact"/>
        <w:ind w:right="400" w:firstLine="632" w:firstLineChars="200"/>
        <w:textAlignment w:val="baseline"/>
        <w:rPr>
          <w:rFonts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四、支持园区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专业化运营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鼓励高校、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科研院所、专业化平台运营国有园区，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按照园区规模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和运营效果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，给予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100-500万元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不同程度运营经费补助，其中 70%为运营成本补助，采取初期直接补助形式；30%为绩效考核补助，采取考核达标后补助形式。绩效考核部分，每年按照运营机构实际完成情况，按比例给予扣减或全额补助。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（责任部门：光电办、国资局、北湖投促局、财政局）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6" w:after="0" w:line="560" w:lineRule="exact"/>
        <w:ind w:right="241" w:firstLine="648" w:firstLineChars="200"/>
        <w:jc w:val="both"/>
        <w:textAlignment w:val="baseline"/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五、支持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外贸服务平台建设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对新获省级、市级及以上称号的外贸综合服务企业，给予一次性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10万元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奖补，对拓展业务明显的外贸综合服务企业，给予一定支持。鼓励企业设立公共海外仓，对新获省级及以上称号、市级称号的公用型海外仓，分别给予一次性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50万元、30万元奖励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（责任部门：光电办、商务文旅局、科技局、财政局）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32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六、支持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企业参展邀展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鼓励新区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企业招引行业内域外企业参</w:t>
      </w:r>
      <w:r>
        <w:rPr>
          <w:rFonts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加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“长春光博会”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，按照招展域外企业户数（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国内500强企业、行业龙头企业按照2倍户数计算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）给予展位费补贴奖励，邀展3-5户的，给予引荐企业展位费50%补贴；邀展6-10户的，给予引荐企业展位费100%补贴；邀展11-15户的，另给予展位装修费50%补贴；邀展15户以上的，另给予展位装修费100%补贴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；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（责任部门：光电办、北湖投促局、财政局）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right="288" w:firstLine="632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七、支持企业举办产业链供需大会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鼓励新区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企业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举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办光电信息产业规模化、精英化、专业化会议、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研讨会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等活动，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根据活动规格、规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</w:rPr>
        <w:t>模、影响力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等因素，按照实际支出费用，给予每场活动最高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-1"/>
          <w:w w:val="100"/>
          <w:kern w:val="0"/>
          <w:positio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0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-1"/>
          <w:w w:val="100"/>
          <w:kern w:val="0"/>
          <w:positio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万元补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助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；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对于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专业化平台、行业协会为新区招展和举办专业研讨会，以购买服务等形式给予补助，每年最高不超过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200万元</w:t>
      </w:r>
      <w:r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方正楷体_GBK" w:hAnsi="方正楷体_GBK" w:eastAsia="方正楷体_GBK" w:cs="方正楷体_GBK"/>
          <w:spacing w:val="-6"/>
          <w:sz w:val="32"/>
          <w:szCs w:val="32"/>
          <w:shd w:val="clear" w:color="auto" w:fill="auto"/>
          <w:lang w:eastAsia="zh-CN"/>
        </w:rPr>
        <w:t>（责任部门：光电办、北湖投促局、商务文旅局、财政局）</w:t>
      </w:r>
    </w:p>
    <w:p>
      <w:pPr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以上措施自印发之日起试行，由相关责任部门负责制定具体实施细则，有效期至2026年12月31日，有明确期限的具体政策按其时限执行，国家、省市另有规定的从其规定。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40" w:firstLineChars="200"/>
        <w:jc w:val="both"/>
        <w:textAlignment w:val="baseline"/>
        <w:rPr>
          <w:rFonts w:ascii="Times New Roman" w:hAnsi="Times New Roman" w:eastAsia="方正仿宋_GBK" w:cs="Times New Roman"/>
          <w:color w:val="000000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shd w:val="clear" w:color="auto" w:fill="auto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shd w:val="clear" w:color="auto" w:fill="auto"/>
          <w:lang w:eastAsia="zh-CN"/>
        </w:rPr>
      </w:pPr>
      <w:bookmarkStart w:id="0" w:name="_GoBack"/>
      <w:bookmarkEnd w:id="0"/>
      <w:r>
        <w:rPr>
          <w:rFonts w:hint="eastAsia" w:ascii="方正楷体_GBK" w:hAnsi="方正楷体_GBK" w:eastAsia="方正楷体_GBK" w:cs="方正楷体_GBK"/>
          <w:sz w:val="32"/>
          <w:szCs w:val="32"/>
          <w:shd w:val="clear" w:color="auto" w:fill="auto"/>
          <w:lang w:eastAsia="zh-CN"/>
        </w:rPr>
        <w:t>附件：资金测算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560" w:lineRule="exact"/>
        <w:ind w:right="102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shd w:val="clear" w:color="auto" w:fill="auto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shd w:val="clear" w:color="auto" w:fill="auto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40" w:firstLineChars="200"/>
        <w:jc w:val="both"/>
        <w:textAlignment w:val="baseline"/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本措施参照《雄安新区支持机器人产业发展的若干措施》《绍兴市关于鼓励支持开放型经济发展的若干政策》</w:t>
      </w:r>
      <w:r>
        <w:rPr>
          <w:rFonts w:hint="eastAsia" w:ascii="方正楷体_GBK" w:hAnsi="方正楷体_GBK" w:eastAsia="方正楷体_GBK" w:cs="方正楷体_GBK"/>
          <w:b w:val="0"/>
          <w:bCs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《</w:t>
      </w:r>
      <w:r>
        <w:rPr>
          <w:rFonts w:hint="eastAsia" w:ascii="方正楷体_GBK" w:hAnsi="方正楷体_GBK" w:eastAsia="方正楷体_GBK" w:cs="方正楷体_GBK"/>
          <w:b w:val="0"/>
          <w:bCs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  <w:t>长春新区支持光电信息产业高质量发展若干措施（试</w:t>
      </w:r>
      <w:r>
        <w:rPr>
          <w:rFonts w:hint="eastAsia" w:ascii="方正楷体_GBK" w:hAnsi="方正楷体_GBK" w:eastAsia="方正楷体_GBK" w:cs="方正楷体_GBK"/>
          <w:b w:val="0"/>
          <w:bCs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行）》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6" w:after="0" w:line="500" w:lineRule="exact"/>
        <w:ind w:left="640" w:leftChars="320" w:right="242" w:firstLine="640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00" w:lineRule="exact"/>
        <w:ind w:right="288" w:firstLine="616" w:firstLineChars="200"/>
        <w:jc w:val="both"/>
        <w:textAlignment w:val="baseline"/>
        <w:rPr>
          <w:rFonts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 w:bidi="ar-SA"/>
        </w:rPr>
        <w:t>经测算，2025年光电信息产业政策兑现资金约为4370万元。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right="288" w:firstLine="640" w:firstLineChars="200"/>
        <w:jc w:val="both"/>
        <w:textAlignment w:val="baseline"/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一、强化战略项目培育，打造产业集群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32" w:firstLineChars="200"/>
        <w:jc w:val="both"/>
        <w:textAlignment w:val="baseline"/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</w:pP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一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）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支持重大项目落位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eastAsia="zh-CN"/>
        </w:rPr>
        <w:t>预估</w:t>
      </w:r>
      <w:r>
        <w:rPr>
          <w:rFonts w:ascii="Times New Roman" w:hAnsi="Times New Roman" w:eastAsia="方正仿宋_GBK" w:cs="Times New Roman"/>
          <w:spacing w:val="-10"/>
          <w:sz w:val="32"/>
          <w:szCs w:val="32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10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00</w:t>
      </w:r>
      <w:r>
        <w:rPr>
          <w:rFonts w:ascii="Times New Roman" w:hAnsi="Times New Roman" w:eastAsia="方正仿宋_GBK" w:cs="Times New Roman"/>
          <w:spacing w:val="-12"/>
          <w:sz w:val="32"/>
          <w:szCs w:val="32"/>
          <w:shd w:val="clear" w:color="auto" w:fill="auto"/>
        </w:rPr>
        <w:t xml:space="preserve"> 万元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32" w:firstLineChars="200"/>
        <w:jc w:val="both"/>
        <w:textAlignment w:val="baseline"/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二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）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支持链主企业发展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eastAsia="zh-CN"/>
        </w:rPr>
        <w:t>预估</w:t>
      </w:r>
      <w:r>
        <w:rPr>
          <w:rFonts w:ascii="Times New Roman" w:hAnsi="Times New Roman" w:eastAsia="方正仿宋_GBK" w:cs="Times New Roman"/>
          <w:spacing w:val="-10"/>
          <w:sz w:val="32"/>
          <w:szCs w:val="32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00</w:t>
      </w:r>
      <w:r>
        <w:rPr>
          <w:rFonts w:ascii="Times New Roman" w:hAnsi="Times New Roman" w:eastAsia="方正仿宋_GBK" w:cs="Times New Roman"/>
          <w:spacing w:val="-12"/>
          <w:sz w:val="32"/>
          <w:szCs w:val="32"/>
          <w:shd w:val="clear" w:color="auto" w:fill="auto"/>
        </w:rPr>
        <w:t xml:space="preserve"> 万元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right="288" w:firstLine="640" w:firstLineChars="200"/>
        <w:jc w:val="both"/>
        <w:textAlignment w:val="baseline"/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二、加强专业园区建设，提升服务水平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32" w:firstLineChars="200"/>
        <w:jc w:val="both"/>
        <w:textAlignment w:val="baseline"/>
        <w:rPr>
          <w:rFonts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val="en-US" w:eastAsia="zh-CN"/>
        </w:rPr>
      </w:pP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三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）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强化专业运营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eastAsia="zh-CN"/>
        </w:rPr>
        <w:t>预估</w:t>
      </w:r>
      <w:r>
        <w:rPr>
          <w:rFonts w:ascii="Times New Roman" w:hAnsi="Times New Roman" w:eastAsia="方正仿宋_GBK" w:cs="Times New Roman"/>
          <w:spacing w:val="-10"/>
          <w:sz w:val="32"/>
          <w:szCs w:val="32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00</w:t>
      </w:r>
      <w:r>
        <w:rPr>
          <w:rFonts w:ascii="Times New Roman" w:hAnsi="Times New Roman" w:eastAsia="方正仿宋_GBK" w:cs="Times New Roman"/>
          <w:spacing w:val="-12"/>
          <w:sz w:val="32"/>
          <w:szCs w:val="32"/>
          <w:shd w:val="clear" w:color="auto" w:fill="auto"/>
        </w:rPr>
        <w:t xml:space="preserve"> 万元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right="288" w:firstLine="640" w:firstLineChars="200"/>
        <w:jc w:val="both"/>
        <w:textAlignment w:val="baseline"/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  <w:t>三、鼓励公共服务平台建设，提升创新能力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06" w:right="100" w:firstLine="640"/>
        <w:jc w:val="both"/>
        <w:textAlignment w:val="auto"/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</w:pP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四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）完善科技服务体系。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eastAsia="zh-CN"/>
        </w:rPr>
        <w:t>预估</w:t>
      </w:r>
      <w:r>
        <w:rPr>
          <w:rFonts w:ascii="Times New Roman" w:hAnsi="Times New Roman" w:eastAsia="方正仿宋_GBK" w:cs="Times New Roman"/>
          <w:spacing w:val="-10"/>
          <w:sz w:val="32"/>
          <w:szCs w:val="32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0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00</w:t>
      </w:r>
      <w:r>
        <w:rPr>
          <w:rFonts w:ascii="Times New Roman" w:hAnsi="Times New Roman" w:eastAsia="方正仿宋_GBK" w:cs="Times New Roman"/>
          <w:spacing w:val="-12"/>
          <w:sz w:val="32"/>
          <w:szCs w:val="32"/>
          <w:shd w:val="clear" w:color="auto" w:fill="auto"/>
        </w:rPr>
        <w:t xml:space="preserve"> 万元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6" w:after="0" w:line="560" w:lineRule="exact"/>
        <w:ind w:right="241" w:firstLine="648" w:firstLineChars="200"/>
        <w:jc w:val="both"/>
        <w:textAlignment w:val="baseline"/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五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  <w:t>）支持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外贸服务平台建设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eastAsia="zh-CN"/>
        </w:rPr>
        <w:t>预估</w:t>
      </w:r>
      <w:r>
        <w:rPr>
          <w:rFonts w:ascii="Times New Roman" w:hAnsi="Times New Roman" w:eastAsia="方正仿宋_GBK" w:cs="Times New Roman"/>
          <w:spacing w:val="-10"/>
          <w:sz w:val="32"/>
          <w:szCs w:val="32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0</w:t>
      </w:r>
      <w:r>
        <w:rPr>
          <w:rFonts w:ascii="Times New Roman" w:hAnsi="Times New Roman" w:eastAsia="方正仿宋_GBK" w:cs="Times New Roman"/>
          <w:spacing w:val="-12"/>
          <w:sz w:val="32"/>
          <w:szCs w:val="32"/>
          <w:shd w:val="clear" w:color="auto" w:fill="auto"/>
        </w:rPr>
        <w:t xml:space="preserve"> 万元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48" w:firstLineChars="200"/>
        <w:jc w:val="both"/>
        <w:textAlignment w:val="baseline"/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eastAsia="zh-CN"/>
        </w:rPr>
        <w:t>四、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</w:rPr>
        <w:t>支持</w:t>
      </w:r>
      <w:r>
        <w:rPr>
          <w:rFonts w:hint="eastAsia" w:ascii="方正黑体_GBK" w:hAnsi="方正黑体_GBK" w:eastAsia="方正黑体_GBK" w:cs="方正黑体_GBK"/>
          <w:b w:val="0"/>
          <w:i w:val="0"/>
          <w:color w:val="000000"/>
          <w:spacing w:val="1"/>
          <w:w w:val="100"/>
          <w:kern w:val="0"/>
          <w:position w:val="0"/>
          <w:sz w:val="32"/>
          <w:szCs w:val="32"/>
          <w:lang w:eastAsia="zh-CN"/>
        </w:rPr>
        <w:t>展会招商，拓展对外合作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9" w:after="0" w:line="560" w:lineRule="exact"/>
        <w:ind w:right="400" w:firstLine="632" w:firstLineChars="200"/>
        <w:jc w:val="both"/>
        <w:textAlignment w:val="baseline"/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  <w:lang w:eastAsia="zh-CN"/>
        </w:rPr>
      </w:pP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六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）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鼓励链主企业、专业平台招商招展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eastAsia="zh-CN"/>
        </w:rPr>
        <w:t>预估</w:t>
      </w:r>
      <w:r>
        <w:rPr>
          <w:rFonts w:ascii="Times New Roman" w:hAnsi="Times New Roman" w:eastAsia="方正仿宋_GBK" w:cs="Times New Roman"/>
          <w:spacing w:val="-10"/>
          <w:sz w:val="32"/>
          <w:szCs w:val="32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0</w:t>
      </w:r>
      <w:r>
        <w:rPr>
          <w:rFonts w:ascii="Times New Roman" w:hAnsi="Times New Roman" w:eastAsia="方正仿宋_GBK" w:cs="Times New Roman"/>
          <w:spacing w:val="-12"/>
          <w:sz w:val="32"/>
          <w:szCs w:val="32"/>
          <w:shd w:val="clear" w:color="auto" w:fill="auto"/>
        </w:rPr>
        <w:t xml:space="preserve"> 万元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3" w:after="0" w:line="560" w:lineRule="exact"/>
        <w:ind w:right="288" w:firstLine="632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</w:rPr>
      </w:pP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（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七</w:t>
      </w:r>
      <w:r>
        <w:rPr>
          <w:rFonts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</w:rPr>
        <w:t>）</w:t>
      </w:r>
      <w:r>
        <w:rPr>
          <w:rFonts w:hint="eastAsia" w:ascii="方正楷体_GBK" w:hAnsi="方正楷体_GBK" w:eastAsia="方正楷体_GBK" w:cs="方正楷体_GBK"/>
          <w:b w:val="0"/>
          <w:i w:val="0"/>
          <w:color w:val="000000"/>
          <w:spacing w:val="0"/>
          <w:w w:val="99"/>
          <w:kern w:val="0"/>
          <w:position w:val="0"/>
          <w:sz w:val="32"/>
          <w:szCs w:val="32"/>
          <w:lang w:eastAsia="zh-CN"/>
        </w:rPr>
        <w:t>鼓励企业举办产业链供需大会</w:t>
      </w:r>
      <w:r>
        <w:rPr>
          <w:rFonts w:hint="eastAsia" w:ascii="Times New Roman" w:hAnsi="Times New Roman" w:eastAsia="方正仿宋_GBK" w:cs="Times New Roman"/>
          <w:b w:val="0"/>
          <w:i w:val="0"/>
          <w:color w:val="000000"/>
          <w:spacing w:val="2"/>
          <w:w w:val="100"/>
          <w:kern w:val="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eastAsia="zh-CN"/>
        </w:rPr>
        <w:t>预估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shd w:val="clear" w:color="auto" w:fill="auto"/>
          <w:lang w:val="en-US" w:eastAsia="zh-CN"/>
        </w:rPr>
        <w:t>10</w:t>
      </w:r>
      <w:r>
        <w:rPr>
          <w:rFonts w:ascii="Times New Roman" w:hAnsi="Times New Roman" w:eastAsia="方正仿宋_GBK" w:cs="Times New Roman"/>
          <w:spacing w:val="-6"/>
          <w:sz w:val="32"/>
          <w:szCs w:val="32"/>
          <w:shd w:val="clear" w:color="auto" w:fill="auto"/>
        </w:rPr>
        <w:t>0</w:t>
      </w:r>
      <w:r>
        <w:rPr>
          <w:rFonts w:ascii="Times New Roman" w:hAnsi="Times New Roman" w:eastAsia="方正仿宋_GBK" w:cs="Times New Roman"/>
          <w:spacing w:val="-12"/>
          <w:sz w:val="32"/>
          <w:szCs w:val="32"/>
          <w:shd w:val="clear" w:color="auto" w:fill="auto"/>
        </w:rPr>
        <w:t xml:space="preserve"> 万元</w:t>
      </w:r>
      <w:r>
        <w:rPr>
          <w:rFonts w:hint="eastAsia" w:ascii="Times New Roman" w:hAnsi="Times New Roman" w:eastAsia="方正仿宋_GBK" w:cs="Times New Roman"/>
          <w:spacing w:val="-6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6" w:after="0" w:line="500" w:lineRule="exact"/>
        <w:ind w:left="640" w:leftChars="320" w:right="242" w:firstLine="640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olor w:val="000000"/>
          <w:spacing w:val="0"/>
          <w:w w:val="100"/>
          <w:kern w:val="0"/>
          <w:position w:val="0"/>
          <w:sz w:val="32"/>
          <w:szCs w:val="32"/>
        </w:rPr>
      </w:pPr>
    </w:p>
    <w:sectPr>
      <w:type w:val="continuous"/>
      <w:pgSz w:w="11920" w:h="16840"/>
      <w:pgMar w:top="2098" w:right="1474" w:bottom="1984" w:left="1587" w:header="0" w:footer="0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Droid Sans Fallbac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Lucida Sans">
    <w:altName w:val="DejaVu Sans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0"/>
  <w:drawingGridVerticalSpacing w:val="156"/>
  <w:displayHorizontalDrawingGridEvery w:val="1"/>
  <w:displayVerticalDrawingGridEvery w:val="1"/>
  <w:noPunctuationKerning w:val="1"/>
  <w:compat>
    <w:ulTrailSpace/>
    <w:doNotExpandShiftReturn/>
    <w:useFELayout/>
    <w:doNotUseIndentAsNumberingTabStop/>
    <w:compatSetting w:name="compatibilityMode" w:uri="http://schemas.microsoft.com/office/word" w:val="14"/>
  </w:compat>
  <w:rsids>
    <w:rsidRoot w:val="00000000"/>
    <w:rsid w:val="3FFEAA48"/>
    <w:rsid w:val="4FF75CCA"/>
    <w:rsid w:val="87FFE094"/>
    <w:rsid w:val="DBF4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="Arial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rFonts w:ascii="宋体" w:hAnsi="宋体" w:eastAsia="宋体" w:cs="宋体"/>
      <w:sz w:val="32"/>
      <w:szCs w:val="32"/>
      <w:lang w:val="en-US" w:eastAsia="zh-CN" w:bidi="ar-SA"/>
    </w:rPr>
  </w:style>
  <w:style w:type="character" w:customStyle="1" w:styleId="8">
    <w:name w:val="heading 1 Char"/>
    <w:basedOn w:val="7"/>
    <w:link w:val="2"/>
    <w:qFormat/>
    <w:uiPriority w:val="0"/>
    <w:rPr>
      <w:rFonts w:ascii="Arial" w:hAnsi="Arial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9">
    <w:name w:val="heading 2 Char"/>
    <w:basedOn w:val="7"/>
    <w:link w:val="3"/>
    <w:qFormat/>
    <w:uiPriority w:val="0"/>
    <w:rPr>
      <w:rFonts w:ascii="Times New Roman" w:hAnsi="Times New Roman" w:eastAsia="黑体" w:cs="Arial"/>
      <w:b/>
      <w:bCs/>
      <w:sz w:val="32"/>
      <w:szCs w:val="32"/>
      <w:lang w:val="en-US" w:eastAsia="zh-CN" w:bidi="ar-SA"/>
    </w:rPr>
  </w:style>
  <w:style w:type="character" w:customStyle="1" w:styleId="10">
    <w:name w:val="heading 3 Char"/>
    <w:basedOn w:val="7"/>
    <w:link w:val="4"/>
    <w:qFormat/>
    <w:uiPriority w:val="0"/>
    <w:rPr>
      <w:rFonts w:ascii="Arial" w:hAnsi="Arial" w:eastAsia="宋体" w:cs="Arial"/>
      <w:b/>
      <w:bCs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5</Pages>
  <Words>0</Words>
  <Characters>1440</Characters>
  <Lines>0</Lines>
  <Paragraphs>37</Paragraphs>
  <TotalTime>0</TotalTime>
  <ScaleCrop>false</ScaleCrop>
  <LinksUpToDate>false</LinksUpToDate>
  <CharactersWithSpaces>1921</CharactersWithSpaces>
  <Application>WPS Office_11.1.0.11664_F1E327BC-269C-435d-A152-05C5408002CA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2024-12-03T01:01:00Z</dcterms:created>
  <dc:creator>Administrator</dc:creator>
  <cp:lastModifiedBy>张镝</cp:lastModifiedBy>
  <cp:lastPrinted>2025-01-07T02:43:00Z</cp:lastPrinted>
  <dcterms:modified xsi:type="dcterms:W3CDTF">2025-02-05T14:14:16Z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  <property fmtid="{D5CDD505-2E9C-101B-9397-08002B2CF9AE}" pid="3" name="ICV">
    <vt:lpwstr>AFACCF4C7DB54D09ADB8DB14DF7C599B_13</vt:lpwstr>
  </property>
  <property fmtid="{D5CDD505-2E9C-101B-9397-08002B2CF9AE}" pid="4" name="KSOTemplateDocerSaveRecord">
    <vt:lpwstr>eyJoZGlkIjoiNjY0MTZkOWQ5OTgzYzRmY2QxMjhhZWM4ZGYwNThlOTEiLCJ1c2VySWQiOiIyODAwMjI3MjIifQ==</vt:lpwstr>
  </property>
</Properties>
</file>